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[полное наименование банка]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банка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филиал, обслуживавший счёт: </w:t>
      </w:r>
      <w:r>
        <w:rPr>
          <w:rFonts w:ascii="Times New Roman" w:hAnsi="Times New Roman" w:eastAsia="Times New Roman"/>
          <w:b w:val="0"/>
          <w:i w:val="0"/>
          <w:color w:val="1A1A1A"/>
          <w:sz w:val="28"/>
        </w:rPr>
        <w:t>[наименование и адрес филиала]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Цена иска: </w:t>
      </w:r>
      <w:r>
        <w:rPr>
          <w:rFonts w:ascii="Times New Roman" w:hAnsi="Times New Roman" w:eastAsia="Times New Roman"/>
          <w:b w:val="0"/>
          <w:i w:val="0"/>
          <w:color w:val="1A1A1A"/>
          <w:sz w:val="28"/>
        </w:rPr>
        <w:t>[цена иска]</w:t>
      </w:r>
      <w:r>
        <w:rPr>
          <w:rFonts w:ascii="Times New Roman" w:hAnsi="Times New Roman" w:eastAsia="Times New Roman"/>
          <w:b w:val="0"/>
          <w:i w:val="0"/>
          <w:color w:val="1A1A1A"/>
          <w:sz w:val="28"/>
        </w:rPr>
        <w:t xml:space="preserve"> руб.</w:t>
      </w:r>
    </w:p>
    <w:p>
      <w:pPr>
        <w:spacing w:before="0" w:after="0" w:line="240" w:lineRule="auto"/>
        <w:jc w:val="right"/>
      </w:pPr>
      <w:r>
        <w:rPr>
          <w:rFonts w:ascii="Times New Roman" w:hAnsi="Times New Roman" w:eastAsia="Times New Roman"/>
          <w:b w:val="0"/>
          <w:i w:val="0"/>
          <w:color w:val="1A1A1A"/>
          <w:sz w:val="28"/>
        </w:rPr>
        <w:t xml:space="preserve">Госпошлина: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(подп. 1 п. 1 ст. 333.21 НК РФ)</w:t>
      </w:r>
    </w:p>
    <w:p>
      <w:pPr>
        <w:keepNext/>
        <w:spacing w:before="240" w:after="240" w:line="240" w:lineRule="auto"/>
        <w:jc w:val="center"/>
      </w:pPr>
      <w:r>
        <w:rPr>
          <w:rFonts w:ascii="Times New Roman" w:hAnsi="Times New Roman" w:eastAsia="Times New Roman"/>
          <w:b/>
          <w:color w:val="000000"/>
          <w:sz w:val="28"/>
        </w:rPr>
        <w:t>ИСКОВОЕ ЗАЯВЛЕНИЕ</w:t>
      </w:r>
    </w:p>
    <w:p>
      <w:pPr>
        <w:keepNext/>
        <w:spacing w:before="200" w:after="160" w:line="240" w:lineRule="auto"/>
        <w:jc w:val="center"/>
      </w:pPr>
      <w:r>
        <w:rPr>
          <w:rFonts w:ascii="Times New Roman" w:hAnsi="Times New Roman" w:eastAsia="Times New Roman"/>
          <w:b/>
          <w:i w:val="0"/>
          <w:color w:val="1A1A1A"/>
          <w:sz w:val="28"/>
        </w:rPr>
        <w:t>о взыскании неосновательного обогащения в виде комиссии, списанной банком при переводе остатка денежных средств, и процентов за пользование чужими денежными средствами</w:t>
      </w:r>
    </w:p>
    <w:p>
      <w:pPr>
        <w:spacing w:before="0" w:after="120" w:line="276" w:lineRule="auto"/>
        <w:ind w:firstLine="709"/>
        <w:jc w:val="both"/>
      </w:pPr>
      <w:r>
        <w:rPr>
          <w:rFonts w:ascii="Times New Roman" w:hAnsi="Times New Roman" w:eastAsia="Times New Roman"/>
          <w:b w:val="0"/>
          <w:i w:val="0"/>
          <w:color w:val="1A1A1A"/>
          <w:sz w:val="28"/>
        </w:rPr>
        <w:t xml:space="preserve">Между Истцом и Ответчиком заключён договор банковского счёта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путём присоединения Истца к Правилам </w:t>
      </w:r>
      <w:r>
        <w:rPr>
          <w:rFonts w:ascii="Times New Roman" w:hAnsi="Times New Roman" w:eastAsia="Times New Roman"/>
          <w:b w:val="0"/>
          <w:i w:val="0"/>
          <w:color w:val="1A1A1A"/>
          <w:sz w:val="28"/>
        </w:rPr>
        <w:t>[наименование правил банковского обслуживания]</w:t>
      </w:r>
      <w:r>
        <w:rPr>
          <w:rFonts w:ascii="Times New Roman" w:hAnsi="Times New Roman" w:eastAsia="Times New Roman"/>
          <w:b w:val="0"/>
          <w:i w:val="0"/>
          <w:color w:val="1A1A1A"/>
          <w:sz w:val="28"/>
        </w:rPr>
        <w:t xml:space="preserve"> на основании заявления о присоединении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Истцу открыт расчётный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Комиссия за перевод денежных средств со счёта юридического лица на счёт юридического лица в другой кредитной организации по платёжному поручению, переданному по системе дистанционного банковского обслуживания, составляла по Тарифам Ответчика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документ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Тарифов в редакции, действовавшей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направил Истцу запрос о представлении документов и пояснений со ссылкой на Федеральный закон от 07.08.2001 № 115-ФЗ «О противодействии легализации (отмыванию) доходов, полученных преступным путем, и финансированию терроризма» (далее — Закон № 115-ФЗ) и одновременно уведомил о приостановлении обслуживания по системе дистанционного банковского обслуживания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Истец представил запрошенные документы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(сопроводительное письмо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отметка Ответчика о получении). Доступ к системе дистанционного банковского обслуживания Ответчик не восстановил.</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Истец подал Ответчику заявление о расторжении договора банковского счёта и закрытии счёта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и платёжное поручение на бумажном носителе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перечислении остатка денежных средств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на собственный расчётный счёт Истца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другого банка]</w:t>
      </w:r>
      <w:r>
        <w:rPr>
          <w:rFonts w:ascii="Times New Roman" w:hAnsi="Times New Roman" w:eastAsia="Times New Roman"/>
          <w:b w:val="0"/>
          <w:i w:val="0"/>
          <w:color w:val="1A1A1A"/>
          <w:sz w:val="28"/>
        </w:rPr>
        <w:t>. Других способов распорядиться денежными средствами у Истца не было: электронные распоряжения Ответчик не принимал.</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перечислил остаток за вычетом комиссии и списал со счёта Истца без его распоряжения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 мемориальному ордеру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назначением платежа «</w:t>
      </w:r>
      <w:r>
        <w:rPr>
          <w:rFonts w:ascii="Times New Roman" w:hAnsi="Times New Roman" w:eastAsia="Times New Roman"/>
          <w:b w:val="0"/>
          <w:i w:val="0"/>
          <w:color w:val="1A1A1A"/>
          <w:sz w:val="28"/>
        </w:rPr>
        <w:t>[назначение платежа дословно по выписке]</w:t>
      </w:r>
      <w:r>
        <w:rPr>
          <w:rFonts w:ascii="Times New Roman" w:hAnsi="Times New Roman" w:eastAsia="Times New Roman"/>
          <w:b w:val="0"/>
          <w:i w:val="0"/>
          <w:color w:val="1A1A1A"/>
          <w:sz w:val="28"/>
        </w:rPr>
        <w:t xml:space="preserve">». Сумма определена Ответчиком в размере </w:t>
      </w:r>
      <w:r>
        <w:rPr>
          <w:rFonts w:ascii="Times New Roman" w:hAnsi="Times New Roman" w:eastAsia="Times New Roman"/>
          <w:b w:val="0"/>
          <w:i w:val="0"/>
          <w:color w:val="1A1A1A"/>
          <w:sz w:val="28"/>
        </w:rPr>
        <w:t>[процент]</w:t>
      </w:r>
      <w:r>
        <w:rPr>
          <w:rFonts w:ascii="Times New Roman" w:hAnsi="Times New Roman" w:eastAsia="Times New Roman"/>
          <w:b w:val="0"/>
          <w:i w:val="0"/>
          <w:color w:val="1A1A1A"/>
          <w:sz w:val="28"/>
        </w:rPr>
        <w:t xml:space="preserve"> % от суммы перевода по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Тарифов (далее — спорная комиссия). Размер спорной комиссии в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раз превышает комиссию за аналогичный перевод по электронному платёжному поручению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Истец направил Ответчику претензию с требованием вернуть спорную комиссию и уплатить проценты за пользование чужими денежными средствами (почтовый идентификатор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получена Ответчиком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в возврате отказал письмом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сославшись на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Тарифов и на непредставление Истцом документов по запросу. Тридцать календарных дней со дня направления претензии истекли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Списание денежных средств со счёта осуществляется банком на основании распоряжения клиента; без распоряжения клиента списание допускается по решению суда, а также в случаях, установленных законом или предусмотренных договором между банком и клиентом (п. 1, 2 ст. 854 ГК РФ). Клиент оплачивает услуги банка по совершению операций с денежными средствами на счёте в случаях, предусмотренных договором банковского счёта (п. 1 ст. 851 ГК РФ). Банк не вправе устанавливать не предусмотренные законом или договором ограничения права клиента распоряжаться денежными средствами по своему усмотрению (п. 3 ст. 845 ГК РФ). Спорная комиссия списана без распоряжения Истца на основании условия Тарифов, которое не может служить основанием списания по доводам, изложенным в п. 2–5 настоящего заявления.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К мерам, направленным на противодействие легализации (отмыванию) доходов, полученных преступным путем, и финансированию терроризма, не относится установление дополнительных (повышенных размеров) комиссионных вознаграждений, сборов и иных вознаграждений, взимаемых организациями, осуществляющими операции с денежными средствами, при осуществлении их клиентами операций (п. 4 ст. 4 Закона № 115-ФЗ). Закон № 115-ФЗ при наличии подозрений предоставляет банку иные права: отказать в совершении операции (п. 11 ст. 7) и расторгнуть договор банковского счёта при принятии в течение календарного года двух и более решений об отказе (абзац третий п. 5.2 ст. 7). Права взимать за операцию повышенную плату Закон № 115-ФЗ не содержит.</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Условие договора банковского счёта о совершении банком за повышенную плату операции с денежными средствами клиента, являющейся сомнительной в соответствии с законодательством о противодействии легализации (отмыванию) доходов, полученных преступным путем, и финансированию терроризма, противоречит существу законодательного регулирования и является ничтожным; осуществление кредитной организацией публичной функции контроля не может использоваться в частноправовых отношениях в качестве способа извлечения выгоды в виде повышенной платы за совершение такого рода операций (п. 4 Обзора судебной практики Верховного Суда Российской Федерации № 1 (2021), утверждённого Президиумом Верховного Суда РФ 07.04.2021). Возложение на клиента расходов по проведению такого контроля, в том числе путём установления специального тарифа при осуществлении банковских операций в зависимости от того, являются или не являются они следствием такого контроля, недопустимо (там же).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(ст. 168 ГК РФ, п. 74 постановления Пленума Верховного Суда РФ от 23.06.2015 № 25). Пункт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Тарифов связывает повышенный размер комиссии с </w:t>
      </w:r>
      <w:r>
        <w:rPr>
          <w:rFonts w:ascii="Times New Roman" w:hAnsi="Times New Roman" w:eastAsia="Times New Roman"/>
          <w:b w:val="0"/>
          <w:i w:val="0"/>
          <w:color w:val="1A1A1A"/>
          <w:sz w:val="28"/>
        </w:rPr>
        <w:t>[условие применения повышенного тарифа по п. [номер]</w:t>
      </w:r>
      <w:r>
        <w:rPr>
          <w:rFonts w:ascii="Times New Roman" w:hAnsi="Times New Roman" w:eastAsia="Times New Roman"/>
          <w:b w:val="0"/>
          <w:i w:val="0"/>
          <w:color w:val="1A1A1A"/>
          <w:sz w:val="28"/>
        </w:rPr>
        <w:t xml:space="preserve"> Тарифов], то есть с мерами контроля по Закону № 115-ФЗ, и в этой части ничтожен.</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Не допускается взимание кредитной организацией комиссионного вознаграждения при осуществлении операций по переводу денежных средств с банковских счетов юридических лиц в связи с изменением или расторжением договоров банковского счёта в размере, превышающем размер комиссионного вознаграждения, взимаемого при осуществлении аналогичных операций по переводу денежных средств с банковских счетов этих лиц при иных условиях (ст. 29 Федерального закона от 02.12.1990 № 395-1 «О банках и банковской деятельности»). Договор банковского счёта расторгается по заявлению клиента в любое время, остаток выдаётся клиенту либо по его указанию перечисляется на другой счёт не позднее семи дней после получения письменного заявления (п. 1, 5 ст. 859 ГК РФ). Перевод остатка на счёт Истца в другом банке совершён в связи с расторжением договора банковского счёта. Комиссия за аналогичный перевод при иных условиях составляет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поэтому сумма, списанная сверх неё, удержана без основания. Судебная коллегия по экономическим спорам Верховного Суда РФ указала, что при спорах о комиссии, списанной при закрытии счёта, судам следует установить действительную волю клиента, исследовать тарифы банка и оценить доводы сторон с учётом ст. 29 Закона о банках и банковской деятельности (определение от 24.01.2025 № 305-ЭС24-17374 по делу № А40-194809/2023).</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Спорная комиссия имеет заградительный характер. При осуществлении предусмотренного договором права на одностороннее изменение условий о комиссионном вознаграждении кредитная организация не должна вводить комиссионное вознаграждение, которое в силу значительности своего размера начинает препятствовать совершению клиентами банка экономически обоснованных операций по счетам, то есть приобретает заградительный характер; ограничив доступ клиента к совершению операций с использованием электронных средств платежа, банк фактически вынудил клиента воспользоваться аналогичной операцией на бумажном носителе (определение Судебной коллегии по экономическим спорам Верховного Суда РФ от 26.12.2024 № 305-ЭС24-16889 по делу № А40-237747/2023). В отсутствие экономического обоснования банком себестоимости услуги установление комиссии, существенно увеличенной по сравнению с комиссией за аналогичную операцию, имеет очевидные признаки заведомо недобросовестного осуществления гражданских прав (п. 1 ст. 10 ГК РФ); условие о существенно различающихся величинах комиссий для присоединившейся стороны является явно обременительным (п. 2 ст. 428 ГК РФ), а добровольное присоединение к договору при ссылке на обременительность отдельных условий правового значения не имеет (определение Судебной коллегии по экономическим спорам Верховного Суда РФ от 24.01.2025 № 305-ЭС24-17374). Ответчик ограничил Истцу дистанционное обслуживание, после чего за перевод собственных средств Истца на его же счёт удержал </w:t>
      </w:r>
      <w:r>
        <w:rPr>
          <w:rFonts w:ascii="Times New Roman" w:hAnsi="Times New Roman" w:eastAsia="Times New Roman"/>
          <w:b w:val="0"/>
          <w:i w:val="0"/>
          <w:color w:val="1A1A1A"/>
          <w:sz w:val="28"/>
        </w:rPr>
        <w:t>[процент]</w:t>
      </w:r>
      <w:r>
        <w:rPr>
          <w:rFonts w:ascii="Times New Roman" w:hAnsi="Times New Roman" w:eastAsia="Times New Roman"/>
          <w:b w:val="0"/>
          <w:i w:val="0"/>
          <w:color w:val="1A1A1A"/>
          <w:sz w:val="28"/>
        </w:rPr>
        <w:t xml:space="preserve"> % от суммы перевода, что в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раз превышает комиссию за электронный перевод.</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Аналогичный подход применён в деле о комиссии в размере 20 % от остатка, списанной банком при закрытии счёта в связи с непредставлением клиентом документов по запросу: суды признали её неосновательным обогащением банка, указав, что Закон № 115-ФЗ не содержит норм, позволяющих кредитным организациям в качестве мер противодействия легализации доходов, полученных преступным путем, устанавливать специальное комиссионное вознаграждение в повышенном размере (решение Арбитражного суда Республики Мордовия от 09.04.2019 и постановление Первого арбитражного апелляционного суда от 12.07.2019 № 01АП-4178/19 по делу № А39-11465/2018).</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Лицо, которое без установленных законом, иными правовыми актами или сделкой оснований приобрело имущество за счёт другого лица, обязано возвратить неосновательное обогащение (п. 1 ст. 1102 ГК РФ). Ответчик списал спорную комиссию со счёта Истца при отсутствии законного или договорного основания и обязан её вернуть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На сумму неосновательного денежного обогащения подлежат начислению проценты за пользование чужими средствами (ст. 395 ГК РФ) с того времени, когда приобретатель узнал или должен был узнать о неосновательности получения денежных средств (п. 2 ст. 1107 ГК РФ). Ответчик списал спорную комиссию по собственному решению и знал о неосновательности её получения с даты списания —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Проценты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составляют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(расчёт прилагается) и подлежат дальнейшему начислению по день уплаты суммы этих средств кредитору (п. 3 ст. 395 ГК РФ).</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Претензионный порядок соблюдён: исковое заявление подано по истечении тридцати календарных дней со дня направления претензии (ч. 5 ст. 4 АПК РФ). Иск предъявлен по адресу Ответчика (ст. 35 АПК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10, 168, 395, 428, 845, 851, 854, 859, 1102, 1107 ГК РФ, п. 4 ст. 4 Федерального закона от 07.08.2001 № 115-ФЗ, ст. 29 Федерального закона от 02.12.1990 № 395-1, ст. 4, 35, 125, 126 АПК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Взыскать с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в пользу ООО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xml:space="preserve">» неосновательное обогащение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Взыскать с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в пользу ООО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xml:space="preserve">» проценты за пользование чужими денежными средствами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Взыскать с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в пользу ООО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xml:space="preserve">» проценты за пользование чужими денежными средствами, начисленные на сумму неосновательного обогащения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 ключевой ставке Банка России, действующей в соответствующие периоды, начиная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день фактического исполнения обязательства.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Взыскать с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в пользу ООО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xml:space="preserve">» расходы по уплате государственной пошлины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Документ, подтверждающий направление Ответчику копии искового заявления и приложенных документов, которые у него отсутствуют.</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Документ об уплате государственной пошлины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заявления о присоединении к Правилам </w:t>
      </w:r>
      <w:r>
        <w:rPr>
          <w:rFonts w:ascii="Times New Roman" w:hAnsi="Times New Roman" w:eastAsia="Times New Roman"/>
          <w:b w:val="0"/>
          <w:i w:val="0"/>
          <w:color w:val="1A1A1A"/>
          <w:sz w:val="28"/>
        </w:rPr>
        <w:t>[наименование правил]</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выдержка из Правил.</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Тарифы Ответчика в редакции, действовавшей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выделением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комиссии за электронный перевод) и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спорной комиссии).</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запроса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уведомления о приостановлении дистанционного банковского обслуживания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сопроводительного письма Истца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представлении документов с отметкой о получении.</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заявления о расторжении договора банковского счёта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платёжного поручения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отметкой Ответчика о принятии.</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Выписка по счёту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копия мемориального ордера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Копия претензии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документ о её направлении и вручении, копия ответа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Расчёт процентов за пользование чужими денежными средствами.</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Выписки из ЕГРЮЛ в отношении Истца и Ответчика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 xml:space="preserve">Доверенность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копия документа о высшем юридическом образовании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взыскании заградительной комиссии с банка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