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В Арбитражный суд [субъект Российской Федерации]</w:t>
      </w:r>
    </w:p>
    <w:p>
      <w:pPr>
        <w:spacing w:after="0"/>
        <w:jc w:val="right"/>
      </w:pPr>
      <w:r>
        <w:t xml:space="preserve">Адрес: [адрес суда]</w:t>
      </w:r>
    </w:p>
    <w:p>
      <w:pPr>
        <w:spacing w:after="0"/>
        <w:jc w:val="right"/>
      </w:pPr>
      <w:r>
        <w:t xml:space="preserve">Истец: [полное наименование лицензиата, ИНН, ОГРН]</w:t>
      </w:r>
    </w:p>
    <w:p>
      <w:pPr>
        <w:spacing w:after="0"/>
        <w:jc w:val="right"/>
      </w:pPr>
      <w:r>
        <w:t xml:space="preserve">Адрес: [адрес по ЕГРЮЛ], телефон: [номер], электронная почта: [адрес]</w:t>
      </w:r>
    </w:p>
    <w:p>
      <w:pPr>
        <w:spacing w:after="0"/>
        <w:jc w:val="right"/>
      </w:pPr>
      <w:r>
        <w:t xml:space="preserve">Ответчик: [полное наименование российского патентообладателя, ИНН, ОГРН]</w:t>
      </w:r>
    </w:p>
    <w:p>
      <w:pPr>
        <w:spacing w:after="0"/>
        <w:jc w:val="right"/>
      </w:pPr>
      <w:r>
        <w:t xml:space="preserve">Адрес: [адрес по ЕГРЮЛ], телефон и электронная почта: [если известны]</w:t>
      </w:r>
    </w:p>
    <w:p>
      <w:pPr>
        <w:spacing w:after="0"/>
        <w:jc w:val="right"/>
      </w:pPr>
      <w:r>
        <w:t xml:space="preserve">Третье лицо: Федеральная служба по интеллектуальной собственности</w:t>
      </w:r>
    </w:p>
    <w:p>
      <w:pPr>
        <w:spacing w:after="0"/>
        <w:jc w:val="right"/>
      </w:pPr>
      <w:r>
        <w:t xml:space="preserve">Адрес: [актуальный адрес Роспатента]</w:t>
      </w:r>
    </w:p>
    <w:p>
      <w:pPr>
        <w:spacing w:after="0"/>
        <w:jc w:val="right"/>
      </w:pPr>
      <w:r>
        <w:t xml:space="preserve">Представитель истца: [ФИО, адрес, реквизиты доверенности]</w:t>
      </w:r>
    </w:p>
    <w:p>
      <w:pPr>
        <w:spacing w:after="0"/>
        <w:jc w:val="right"/>
      </w:pPr>
      <w:r>
        <w:t xml:space="preserve">Государственная пошлина: 50 000 рублей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ИСКОВОЕ ЗАЯВЛЕНИЕ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об изменении срока действующей принудительной простой лицензии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1. Существующие отношения и предмет требования</w:t>
      </w:r>
    </w:p>
    <w:p>
      <w:pPr>
        <w:spacing w:after="120" w:line="276"/>
        <w:ind w:firstLine="709"/>
        <w:jc w:val="both"/>
      </w:pPr>
      <w:r>
        <w:t xml:space="preserve">На основании [наименование суда, дата и вид судебного акта] по делу № [номер] истцу предоставлена принудительная простая лицензия на использование изобретения по патенту Российской Федерации № [номер], наименование [наименование изобретения]. Предоставление права зарегистрировано [дата], номер регистрации [номер].</w:t>
      </w:r>
    </w:p>
    <w:p>
      <w:pPr>
        <w:spacing w:after="120" w:line="276"/>
        <w:ind w:firstLine="709"/>
        <w:jc w:val="both"/>
      </w:pPr>
      <w:r>
        <w:t xml:space="preserve">Лицензия разрешает [точные способы использования] на территории [территория]. Пунктом [номер] договора установлен срок с [дата] по [дата]. Размер, порядок и сроки вознаграждения предусмотрены пунктом [номер]: [содержание условия]. Истец исполняет обязанность по выплате вознаграждения, что подтверждается [платёжные документы и расчёт].</w:t>
      </w:r>
    </w:p>
    <w:p>
      <w:pPr>
        <w:spacing w:after="120" w:line="276"/>
        <w:ind w:firstLine="709"/>
        <w:jc w:val="both"/>
      </w:pPr>
      <w:r>
        <w:t xml:space="preserve">На дату подачи иска лицензия и исключительное право действуют. Согласно [выписка из реестра, дата] срок исключительного права по патенту истекает [дата]. Истец просит изменить только условие о сроке лицензии, сохранив иные условия без изменения.</w:t>
      </w:r>
    </w:p>
    <w:p>
      <w:pPr>
        <w:spacing w:after="120" w:line="276"/>
        <w:ind w:firstLine="709"/>
        <w:jc w:val="both"/>
      </w:pPr>
      <w:r>
        <w:t xml:space="preserve">Спор относится к компетенции арбитражного суда как экономический спор между организациями. Иск предъявлен по адресу ответчика на основании статьи 35 АПК РФ. Обстоятельств, изменяющих территориальную подсудность настоящего требования, не имеется [указать результат проверки договора и применимых правил].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2. Существенное изменение обстоятельств</w:t>
      </w:r>
    </w:p>
    <w:p>
      <w:pPr>
        <w:spacing w:after="120" w:line="276"/>
        <w:ind w:firstLine="709"/>
        <w:jc w:val="both"/>
      </w:pPr>
      <w:r>
        <w:t xml:space="preserve">При определении первоначального срока стороны и суд исходили из [описание режима обращения препарата, объёма потребности и модели поставок]. Это подтверждается [судебный акт, документы первоначального дела, конкретные страницы].</w:t>
      </w:r>
    </w:p>
    <w:p>
      <w:pPr>
        <w:spacing w:after="120" w:line="276"/>
        <w:ind w:firstLine="709"/>
        <w:jc w:val="both"/>
      </w:pPr>
      <w:r>
        <w:t xml:space="preserve">После установления условий лицензии произошли следующие изменения: [дата и содержание регистрации препарата либо иного конкретного события]. Подтверждающие документы: [реквизиты регистрационной записи, официальных решений и иных источников].</w:t>
      </w:r>
    </w:p>
    <w:p>
      <w:pPr>
        <w:spacing w:after="120" w:line="276"/>
        <w:ind w:firstLine="709"/>
        <w:jc w:val="both"/>
      </w:pPr>
      <w:r>
        <w:t xml:space="preserve">Изменение режима оборота повлекло для истца [новые обязанности, необходимые мероприятия, подтверждённые сроки и затраты]. Прежний срок лицензии не позволяет [конкретное последствие для согласованной модели исполнения], тогда как изменение до [дата] обеспечивает [обоснованный результат].</w:t>
      </w:r>
    </w:p>
    <w:p>
      <w:pPr>
        <w:spacing w:after="120" w:line="276"/>
        <w:ind w:firstLine="709"/>
        <w:jc w:val="both"/>
      </w:pPr>
      <w:r>
        <w:t xml:space="preserve">Причинная связь раскрыта в приложенном сравнительном анализе: исходное условие, наступившее событие, новое требование и его влияние на срок исполнения. Истец не ссылается исключительно на снижение коммерческой выгоды или желание увеличить объём продаж.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3. Условия применения пункта 2 статьи 451 ГК РФ</w:t>
      </w:r>
    </w:p>
    <w:p>
      <w:pPr>
        <w:spacing w:after="120" w:line="276"/>
        <w:ind w:firstLine="709"/>
        <w:jc w:val="both"/>
      </w:pPr>
      <w:r>
        <w:t xml:space="preserve">При установлении условий лицензии стороны исходили из того, что [конкретное обстоятельство] не изменится в описанном объёме. На тот момент имелись [сведения], из которых не следовала неизбежность события [событие и срок]. Документы [перечень] подтверждают отличие известной возможности от наступившего изменения.</w:t>
      </w:r>
    </w:p>
    <w:p>
      <w:pPr>
        <w:spacing w:after="120" w:line="276"/>
        <w:ind w:firstLine="709"/>
        <w:jc w:val="both"/>
      </w:pPr>
      <w:r>
        <w:t xml:space="preserve">Истец не мог преодолеть последствия изменения при требуемой заботливости и осмотрительности, поскольку [объективное препятствие]. Принятые меры [перечень] подтверждены [документы]; они не позволили сохранить прежний баланс в пределах установленного срока.</w:t>
      </w:r>
    </w:p>
    <w:p>
      <w:pPr>
        <w:spacing w:after="120" w:line="276"/>
        <w:ind w:firstLine="709"/>
        <w:jc w:val="both"/>
      </w:pPr>
      <w:r>
        <w:t xml:space="preserve">Исполнение на прежних условиях нарушает соотношение имущественных интересов следующим образом: [показатели до и после, необходимые затраты, утрачиваемый результат]. Расчёт и подтверждающие документы приложены. Если бы соответствующие изменения могли быть разумно предвидены, условия о сроке были бы существенно иными по причинам [обоснование].</w:t>
      </w:r>
    </w:p>
    <w:p>
      <w:pPr>
        <w:spacing w:after="120" w:line="276"/>
        <w:ind w:firstLine="709"/>
        <w:jc w:val="both"/>
      </w:pPr>
      <w:r>
        <w:t xml:space="preserve">Из содержания лицензии, первоначального судебного акта и существа отношений не следует возложение на истца риска именно такого изменения обстоятельств. Пункт [номер] регулирует [содержание], но не предусматривает принятие истцом риска [конкретное событие]. Противоположных условий в договоре не имеется.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4. Основание для изменения договора, а не его расторжения</w:t>
      </w:r>
    </w:p>
    <w:p>
      <w:pPr>
        <w:spacing w:after="120" w:line="276"/>
        <w:ind w:firstLine="709"/>
        <w:jc w:val="both"/>
      </w:pPr>
      <w:r>
        <w:t xml:space="preserve">Сохранение поставок препарата имеет общественное значение: [конкретные сведения о заболевании, подтверждённой потребности и системе обеспечения]. По документу [организация, дата, номер] потребность составляет [показатель и период], а подтверждённое предложение [показатель и источник].</w:t>
      </w:r>
    </w:p>
    <w:p>
      <w:pPr>
        <w:spacing w:after="120" w:line="276"/>
        <w:ind w:firstLine="709"/>
        <w:jc w:val="both"/>
      </w:pPr>
      <w:r>
        <w:t xml:space="preserve">Прекращение лицензии по окончании прежнего срока приведёт к [конкретное последствие для обеспечения потребности]. Эти последствия подтверждены [документы], а не предположением о любом возможном дефиците.</w:t>
      </w:r>
    </w:p>
    <w:p>
      <w:pPr>
        <w:spacing w:after="120" w:line="276"/>
        <w:ind w:firstLine="709"/>
        <w:jc w:val="both"/>
      </w:pPr>
      <w:r>
        <w:t xml:space="preserve">Таким образом, прекращение отношений противоречит указанным общественным интересам, что соответствует исключительному случаю пункта 4 статьи 451 ГК РФ. Предлагаемое изменение сохраняет право ответчика на вознаграждение и самостоятельное использование изобретения.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5. Сохранение специальных оснований лицензии и пределы изменения</w:t>
      </w:r>
    </w:p>
    <w:p>
      <w:pPr>
        <w:spacing w:after="120" w:line="276"/>
        <w:ind w:firstLine="709"/>
        <w:jc w:val="both"/>
      </w:pPr>
      <w:r>
        <w:t xml:space="preserve">Обстоятельства, обусловившие предоставление принудительной лицензии, продолжают существовать: [факты недостаточного предложения и подтверждения]. Документы [перечень] не подтверждают насыщение рынка в объёме, устраняющем соответствующую потребность.</w:t>
      </w:r>
    </w:p>
    <w:p>
      <w:pPr>
        <w:spacing w:after="120" w:line="276"/>
        <w:ind w:firstLine="709"/>
        <w:jc w:val="both"/>
      </w:pPr>
      <w:r>
        <w:t xml:space="preserve">Истец сохраняет готовность использовать изобретение в разрешённых пределах, что подтверждается [документы о необходимых разрешениях, организации поставок и исполнении]. Запрашиваемый срок не превышает срок исключительного права, установленный пунктом 4 статьи 1235 ГК РФ.</w:t>
      </w:r>
    </w:p>
    <w:p>
      <w:pPr>
        <w:spacing w:after="120" w:line="276"/>
        <w:ind w:firstLine="709"/>
        <w:jc w:val="both"/>
      </w:pPr>
      <w:r>
        <w:t xml:space="preserve">В определении от 26.10.2026 № 305-ЭС26-13305 по делу № А40-88557/2025 Верховный Суд РФ признал допустимым применение статьи 451 ГК РФ к изменению срока принудительной лицензии при доказанном существенном изменении обстоятельств и сохранении оснований её предоставления. Истец ссылается на этот подход с учётом самостоятельных доказательств настоящего дела.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6. Предварительное предложение</w:t>
      </w:r>
    </w:p>
    <w:p>
      <w:pPr>
        <w:spacing w:after="120" w:line="276"/>
        <w:ind w:firstLine="709"/>
        <w:jc w:val="both"/>
      </w:pPr>
      <w:r>
        <w:t xml:space="preserve">[Дата] ответчику направлено предложение изменить пункт [номер] лицензии в редакции, приведённой в просительной части. Предложение доставлено [дата и доказательство]. Ответчик отказал письмом от [дата] № [номер], приложенным к иску. Порядок, предусмотренный пунктом 2 статьи 452 ГК РФ, соблюдён.</w:t>
      </w:r>
    </w:p>
    <w:p>
      <w:pPr>
        <w:spacing w:after="120" w:line="276"/>
        <w:ind w:firstLine="709"/>
        <w:jc w:val="both"/>
      </w:pPr>
      <w:r>
        <w:t xml:space="preserve">На основании статей 1235, 1362, 451 и 452 ГК РФ, руководствуясь статьями 27, 35, 51, 125 и 126 АПК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Изменить пункт [номер] лицензионного договора, заключённого на основании [судебный акт] по делу № [номер], изложив его в следующей редакции: «Право использования изобретения по патенту Российской Федерации № [номер] предоставляется лицензиату до [дата окончания, не позднее срока исключительного права]».</w:t>
      </w:r>
    </w:p>
    <w:p>
      <w:pPr>
        <w:spacing w:after="120" w:line="276"/>
        <w:ind w:left="360" w:hanging="360"/>
        <w:jc w:val="both"/>
      </w:pPr>
      <w:r>
        <w:t xml:space="preserve">2. Привлечь Роспатент к участию в деле как третье лицо, не заявляющее самостоятельных требований относительно предмета спора.</w:t>
      </w:r>
    </w:p>
    <w:p>
      <w:pPr>
        <w:spacing w:after="120" w:line="276"/>
        <w:ind w:left="360" w:hanging="360"/>
        <w:jc w:val="both"/>
      </w:pPr>
      <w:r>
        <w:t xml:space="preserve">3. Взыскать с ответчика расходы по уплате государственной пошлины.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Документ об уплате государственной пошлины.</w:t>
      </w:r>
    </w:p>
    <w:p>
      <w:pPr>
        <w:spacing w:after="120" w:line="276"/>
        <w:ind w:left="360" w:hanging="360"/>
        <w:jc w:val="both"/>
      </w:pPr>
      <w:r>
        <w:t xml:space="preserve">2. Подтверждения направления иска и приложений ответчику и Роспатенту.</w:t>
      </w:r>
    </w:p>
    <w:p>
      <w:pPr>
        <w:spacing w:after="120" w:line="276"/>
        <w:ind w:left="360" w:hanging="360"/>
        <w:jc w:val="both"/>
      </w:pPr>
      <w:r>
        <w:t xml:space="preserve">3. Первоначальный судебный акт, текст лицензии и сведения о регистрации.</w:t>
      </w:r>
    </w:p>
    <w:p>
      <w:pPr>
        <w:spacing w:after="120" w:line="276"/>
        <w:ind w:left="360" w:hanging="360"/>
        <w:jc w:val="both"/>
      </w:pPr>
      <w:r>
        <w:t xml:space="preserve">4. Актуальные сведения о патенте и сроке исключительного права.</w:t>
      </w:r>
    </w:p>
    <w:p>
      <w:pPr>
        <w:spacing w:after="120" w:line="276"/>
        <w:ind w:left="360" w:hanging="360"/>
        <w:jc w:val="both"/>
      </w:pPr>
      <w:r>
        <w:t xml:space="preserve">5. Документы об изменившихся обстоятельствах и их последствиях.</w:t>
      </w:r>
    </w:p>
    <w:p>
      <w:pPr>
        <w:spacing w:after="120" w:line="276"/>
        <w:ind w:left="360" w:hanging="360"/>
        <w:jc w:val="both"/>
      </w:pPr>
      <w:r>
        <w:t xml:space="preserve">6. Сопоставление исходных и новых условий с расчётами и подтверждениями.</w:t>
      </w:r>
    </w:p>
    <w:p>
      <w:pPr>
        <w:spacing w:after="120" w:line="276"/>
        <w:ind w:left="360" w:hanging="360"/>
        <w:jc w:val="both"/>
      </w:pPr>
      <w:r>
        <w:t xml:space="preserve">7. Документы о потребности рынка, поставках и общественном интересе.</w:t>
      </w:r>
    </w:p>
    <w:p>
      <w:pPr>
        <w:spacing w:after="120" w:line="276"/>
        <w:ind w:left="360" w:hanging="360"/>
        <w:jc w:val="both"/>
      </w:pPr>
      <w:r>
        <w:t xml:space="preserve">8. Документы об исполнении лицензии истцом и выплате вознаграждения.</w:t>
      </w:r>
    </w:p>
    <w:p>
      <w:pPr>
        <w:spacing w:after="120" w:line="276"/>
        <w:ind w:left="360" w:hanging="360"/>
        <w:jc w:val="both"/>
      </w:pPr>
      <w:r>
        <w:t xml:space="preserve">9. Предложение изменить договор, доказательства доставки и отказ ответчика.</w:t>
      </w:r>
    </w:p>
    <w:p>
      <w:pPr>
        <w:spacing w:after="120" w:line="276"/>
        <w:ind w:left="360" w:hanging="360"/>
        <w:jc w:val="both"/>
      </w:pPr>
      <w:r>
        <w:t xml:space="preserve">10. Сведения о сторонах из ЕГРЮЛ в установленной процессуальным законом форме.</w:t>
      </w:r>
    </w:p>
    <w:p>
      <w:pPr>
        <w:spacing w:after="120" w:line="276"/>
        <w:ind w:left="360" w:hanging="360"/>
        <w:jc w:val="both"/>
      </w:pPr>
      <w:r>
        <w:t xml:space="preserve">11. Доверенность представителя со специальными полномочиями и документ о юридическом образовании либо статусе адвоката.</w:t>
      </w:r>
    </w:p>
    <w:p>
      <w:pPr>
        <w:spacing w:after="120" w:line="276"/>
        <w:ind w:firstLine="709"/>
        <w:jc w:val="both"/>
      </w:pPr>
      <w:r>
        <w:t xml:space="preserve">[дата] [подпись] / [ФИО и должность подписанта]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defaultTabStop w:val="720"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paragraph" w:styleId="Caption">
    <w:name w:val="caption"/>
    <w:basedOn w:val="Normal"/>
    <w:next w:val="Normal"/>
    <w:uiPriority w:val="35"/>
    <w:semiHidden/>
    <w:unhideWhenUsed/>
    <w:qFormat/>
    <w:pPr>
      <w:spacing w:after="200"/>
    </w:pPr>
    <w:rPr>
      <w:i/>
      <w:iCs/>
      <w:color w:val="44546A" w:themeColor="dark2"/>
      <w:sz w:val="18"/>
      <w:szCs w:val="18"/>
    </w:rPr>
  </w:style>
  <w:style w:type="paragraph" w:styleId="Bibliography">
    <w:name w:val="Bibliography"/>
    <w:basedOn w:val="Normal"/>
    <w:next w:val="Normal"/>
    <w:uiPriority w:val="37"/>
    <w:unhideWhenUsed/>
  </w:style>
  <w:style w:type="paragraph" w:styleId="TOC1">
    <w:name w:val="toc 1"/>
    <w:basedOn w:val="Normal"/>
    <w:next w:val="Normal"/>
    <w:uiPriority w:val="39"/>
    <w:semiHidden/>
    <w:unhideWhenUsed/>
    <w:pPr>
      <w:spacing w:after="100"/>
    </w:pPr>
  </w:style>
  <w:style w:type="paragraph" w:styleId="TOC2">
    <w:name w:val="toc 2"/>
    <w:basedOn w:val="Normal"/>
    <w:next w:val="Normal"/>
    <w:uiPriority w:val="39"/>
    <w:semiHidden/>
    <w:unhideWhenUsed/>
    <w:pPr>
      <w:spacing w:after="100"/>
      <w:ind w:left="280"/>
    </w:pPr>
  </w:style>
  <w:style w:type="paragraph" w:styleId="TOC3">
    <w:name w:val="toc 3"/>
    <w:basedOn w:val="Normal"/>
    <w:next w:val="Normal"/>
    <w:uiPriority w:val="39"/>
    <w:semiHidden/>
    <w:unhideWhenUsed/>
    <w:pPr>
      <w:spacing w:after="100"/>
      <w:ind w:left="560"/>
    </w:pPr>
  </w:style>
  <w:style w:type="paragraph" w:styleId="TOC4">
    <w:name w:val="toc 4"/>
    <w:basedOn w:val="Normal"/>
    <w:next w:val="Normal"/>
    <w:uiPriority w:val="39"/>
    <w:semiHidden/>
    <w:unhideWhenUsed/>
    <w:pPr>
      <w:spacing w:after="100"/>
      <w:ind w:left="840"/>
    </w:pPr>
  </w:style>
  <w:style w:type="paragraph" w:styleId="TOC5">
    <w:name w:val="toc 5"/>
    <w:basedOn w:val="Normal"/>
    <w:next w:val="Normal"/>
    <w:uiPriority w:val="39"/>
    <w:semiHidden/>
    <w:unhideWhenUsed/>
    <w:pPr>
      <w:spacing w:after="100"/>
      <w:ind w:left="1120"/>
    </w:pPr>
  </w:style>
  <w:style w:type="paragraph" w:styleId="TOC6">
    <w:name w:val="toc 6"/>
    <w:basedOn w:val="Normal"/>
    <w:next w:val="Normal"/>
    <w:uiPriority w:val="39"/>
    <w:semiHidden/>
    <w:unhideWhenUsed/>
    <w:pPr>
      <w:spacing w:after="100"/>
      <w:ind w:left="1400"/>
    </w:pPr>
  </w:style>
  <w:style w:type="paragraph" w:styleId="TOC7">
    <w:name w:val="toc 7"/>
    <w:basedOn w:val="Normal"/>
    <w:next w:val="Normal"/>
    <w:uiPriority w:val="39"/>
    <w:semiHidden/>
    <w:unhideWhenUsed/>
    <w:pPr>
      <w:spacing w:after="100"/>
      <w:ind w:left="1680"/>
    </w:pPr>
  </w:style>
  <w:style w:type="paragraph" w:styleId="TOC8">
    <w:name w:val="toc 8"/>
    <w:basedOn w:val="Normal"/>
    <w:next w:val="Normal"/>
    <w:uiPriority w:val="39"/>
    <w:semiHidden/>
    <w:unhideWhenUsed/>
    <w:pPr>
      <w:spacing w:after="100"/>
      <w:ind w:left="1960"/>
    </w:pPr>
  </w:style>
  <w:style w:type="paragraph" w:styleId="TOC9">
    <w:name w:val="toc 9"/>
    <w:basedOn w:val="Normal"/>
    <w:next w:val="Normal"/>
    <w:uiPriority w:val="39"/>
    <w:semiHidden/>
    <w:unhideWhenUsed/>
    <w:pPr>
      <w:spacing w:after="100"/>
      <w:ind w:left="2240"/>
    </w:pPr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character" w:styleId="LineNumber">
    <w:name w:val="line number"/>
    <w:basedOn w:val="DefaultParagraphFont"/>
    <w:uiPriority w:val="99"/>
    <w:semiHidden/>
    <w:unhideWhenUsed/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2026-11-05T14:32:13.136Z</dcterms:created>
  <dcterms:modified xsi:type="dcterms:W3CDTF">2026-11-05T14:32:13.136Z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