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[наименование]</w:t>
      </w:r>
    </w:p>
    <w:p>
      <w:pPr>
        <w:spacing w:after="0"/>
        <w:jc w:val="right"/>
      </w:pPr>
      <w:r>
        <w:t xml:space="preserve">Дело № [номер], судья [ФИО]</w:t>
      </w:r>
    </w:p>
    <w:p>
      <w:pPr>
        <w:spacing w:after="0"/>
        <w:jc w:val="right"/>
      </w:pPr>
      <w:r>
        <w:t xml:space="preserve">Заявитель: [ФИО или наименование, процессуальное положение]</w:t>
      </w:r>
    </w:p>
    <w:p>
      <w:pPr>
        <w:spacing w:after="0"/>
        <w:jc w:val="right"/>
      </w:pPr>
      <w:r>
        <w:t xml:space="preserve">Адрес: [адрес], телефон: [номер], электронная почта: [адрес]</w:t>
      </w:r>
    </w:p>
    <w:p>
      <w:pPr>
        <w:spacing w:after="0"/>
        <w:jc w:val="right"/>
      </w:pPr>
      <w:r>
        <w:t xml:space="preserve">Истец: [ФИО, адрес]</w:t>
      </w:r>
    </w:p>
    <w:p>
      <w:pPr>
        <w:spacing w:after="0"/>
        <w:jc w:val="right"/>
      </w:pPr>
      <w:r>
        <w:t xml:space="preserve">Ответчик: [наименование ООО, ИНН, ОГРН, адрес]</w:t>
      </w:r>
    </w:p>
    <w:p>
      <w:pPr>
        <w:spacing w:after="0"/>
        <w:jc w:val="right"/>
      </w:pPr>
      <w:r>
        <w:t xml:space="preserve">Иные участники: [сведения]</w:t>
      </w:r>
    </w:p>
    <w:p>
      <w:pPr>
        <w:spacing w:after="0"/>
        <w:jc w:val="right"/>
      </w:pPr>
      <w:r>
        <w:t xml:space="preserve">Представитель заявителя: [ФИО, реквизиты доверенности]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ХОДАТАЙСТВО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о назначении повторной судебной экспертизы рыночной стоимости товарных знаков</w:t>
      </w:r>
    </w:p>
    <w:p>
      <w:pPr>
        <w:spacing w:after="120" w:line="276"/>
        <w:ind w:firstLine="709"/>
        <w:jc w:val="both"/>
      </w:pPr>
      <w:r>
        <w:t xml:space="preserve">В производстве суда находится дело по иску [истец] к [ответчик] о взыскании действительной стоимости доли в уставном капитале общества и [содержание иных требований]. Размер доли истца составляет [процент]. Применимая дата оценки [дата] установлена [судебный акт или изложенное в деле правовое обоснование].</w:t>
      </w:r>
    </w:p>
    <w:p>
      <w:pPr>
        <w:spacing w:after="120" w:line="276"/>
        <w:ind w:firstLine="709"/>
        <w:jc w:val="both"/>
      </w:pPr>
      <w:r>
        <w:t xml:space="preserve">Определением от [дата] назначена судебная экспертиза, проведение которой поручено [организация и эксперт]. На разрешение поставлен вопрос: «[дословный вопрос о рыночной стоимости спорных товарных знаков на определённую дату]».</w:t>
      </w:r>
    </w:p>
    <w:p>
      <w:pPr>
        <w:spacing w:after="120" w:line="276"/>
        <w:ind w:firstLine="709"/>
        <w:jc w:val="both"/>
      </w:pPr>
      <w:r>
        <w:t xml:space="preserve">Заключение от [дата] № [номер] поступило в дело [дата]. Заявитель ознакомился с ним [дата и подтверждение]. На страницах [номера] эксперт определил стоимость товарных знаков № [номера регистрации] в размере [сумма] руб. Приведённый вывод вызывает сомнения в обоснованности по следующим причинам.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Рыночная оценка заменена бухгалтерской величиной</w:t>
      </w:r>
    </w:p>
    <w:p>
      <w:pPr>
        <w:spacing w:after="120" w:line="276"/>
        <w:ind w:firstLine="709"/>
        <w:jc w:val="both"/>
      </w:pPr>
      <w:r>
        <w:t xml:space="preserve">В разделе [номер, страницы] источником итоговой суммы названы [карточка бухгалтерского учёта, баланс, иные документы]. Эксперт указал [точное содержание вывода], но не изложил исследование, подтверждающее соответствие балансовой величины рыночной стоимости.</w:t>
      </w:r>
    </w:p>
    <w:p>
      <w:pPr>
        <w:spacing w:after="120" w:line="276"/>
        <w:ind w:firstLine="709"/>
        <w:jc w:val="both"/>
      </w:pPr>
      <w:r>
        <w:t xml:space="preserve">В заключении отсутствует объяснение [конкретно отсутствующий элемент исследования: выбор подхода, анализ исходных данных, оценка ограничений]. Ссылка на основной вид деятельности общества [вид деятельности] не раскрывает экономическую ценность права для потенциального приобретателя.</w:t>
      </w:r>
    </w:p>
    <w:p>
      <w:pPr>
        <w:spacing w:after="120" w:line="276"/>
        <w:ind w:firstLine="709"/>
        <w:jc w:val="both"/>
      </w:pPr>
      <w:r>
        <w:t xml:space="preserve">Указанный недостаток влияет на ответ по поставленному вопросу, поскольку суд поручил установить рыночную, а не балансовую стоимость. Спорная сумма непосредственно включена в расчёт чистых активов на странице [номер] и влияет на размер выплаты истцу пропорционально его доле.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Безвозмездная лицензия ошибочно приравнена к отсутствию стоимости права</w:t>
      </w:r>
    </w:p>
    <w:p>
      <w:pPr>
        <w:spacing w:after="120" w:line="276"/>
        <w:ind w:firstLine="709"/>
        <w:jc w:val="both"/>
      </w:pPr>
      <w:r>
        <w:t xml:space="preserve">На странице [номер] эксперт сослался на договор от [дата] № [номер], по которому право использования знака предоставлено безвозмездно, и сделал вывод [точная формулировка].</w:t>
      </w:r>
    </w:p>
    <w:p>
      <w:pPr>
        <w:spacing w:after="120" w:line="276"/>
        <w:ind w:firstLine="709"/>
        <w:jc w:val="both"/>
      </w:pPr>
      <w:r>
        <w:t xml:space="preserve">Между тем договор определяет условия пользования в отношениях его сторон. Он не устанавливает рыночную цену исключительного права. Эксперт не исследовал [срок, территорию, объём использования, характер лицензии и другие конкретно пропущенные условия] и их влияние на стоимость.</w:t>
      </w:r>
    </w:p>
    <w:p>
      <w:pPr>
        <w:spacing w:after="120" w:line="276"/>
        <w:ind w:firstLine="709"/>
        <w:jc w:val="both"/>
      </w:pPr>
      <w:r>
        <w:t xml:space="preserve">Заявитель не предлагает игнорировать лицензию. Необходимо оценить её фактические ограничения, не подменяя такое исследование выводом о нулевой стоимости по причине отсутствия роялти.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Исходные данные о принадлежности права не соответствуют материалам дела</w:t>
      </w:r>
    </w:p>
    <w:p>
      <w:pPr>
        <w:spacing w:after="120" w:line="276"/>
        <w:ind w:firstLine="709"/>
        <w:jc w:val="both"/>
      </w:pPr>
      <w:r>
        <w:t xml:space="preserve">В отношении знака № [номер] эксперт исходил из [описание ошибочной предпосылки о переходе или прекращении права]. Однако [выписка из реестра, дата, номер] подтверждает, что на дату оценки правообладателем являлось общество [наименование], а [регистрация перехода отсутствовала / событие прекращения наступило позднее: оставить установленный факт].</w:t>
      </w:r>
    </w:p>
    <w:p>
      <w:pPr>
        <w:spacing w:after="120" w:line="276"/>
        <w:ind w:firstLine="709"/>
        <w:jc w:val="both"/>
      </w:pPr>
      <w:r>
        <w:t xml:space="preserve">Вопрос о правовой принадлежности права подлежит разрешению судом. После определения соответствующих исходных обстоятельств стоимость должна исследоваться с их учётом. Использование в заключении иного состава активов без сопоставления с реестром создаёт самостоятельное сомнение в обоснованности итогового результата.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Основания повторного исследования</w:t>
      </w:r>
    </w:p>
    <w:p>
      <w:pPr>
        <w:spacing w:after="120" w:line="276"/>
        <w:ind w:firstLine="709"/>
        <w:jc w:val="both"/>
      </w:pPr>
      <w:r>
        <w:t xml:space="preserve">По части 2 статьи 87 АПК РФ повторная экспертиза назначается при сомнениях в обоснованности заключения либо противоречиях в выводах и поручается другому эксперту или другой комиссии. В настоящем случае недостатки относятся к исходным данным и способу получения ответа, а не только к ясности его изложения.</w:t>
      </w:r>
    </w:p>
    <w:p>
      <w:pPr>
        <w:spacing w:after="120" w:line="276"/>
        <w:ind w:firstLine="709"/>
        <w:jc w:val="both"/>
      </w:pPr>
      <w:r>
        <w:t xml:space="preserve">В определении ВС РФ от 23.10.2026 № 305-ЭС26-6383 по делу № А40-58310/2024 указано на необходимость определения рыночной стоимости товарных знаков, учёта регистрации перехода права и специальных знаний при оценке. Безвозмездная лицензия сама по себе не опровергает существование рыночной стоимости знака.</w:t>
      </w:r>
    </w:p>
    <w:p>
      <w:pPr>
        <w:spacing w:after="120" w:line="276"/>
        <w:ind w:firstLine="709"/>
        <w:jc w:val="both"/>
      </w:pPr>
      <w:r>
        <w:t xml:space="preserve">Для устранения сомнений требуется новое исследование по первоначальному вопросу. Заявитель не просит автоматически признать правильной сумму внесудебного отчёта или заранее определить результат экспертизы.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Кандидатура и материалы</w:t>
      </w:r>
    </w:p>
    <w:p>
      <w:pPr>
        <w:spacing w:after="120" w:line="276"/>
        <w:ind w:firstLine="709"/>
        <w:jc w:val="both"/>
      </w:pPr>
      <w:r>
        <w:t xml:space="preserve">Предлагается поручить исследование [организация, адрес, эксперт или состав комиссии]. Сведения о квалификации [образование, специализация, опыт оценки интеллектуальной собственности, иные подтверждённые данные] приложены.</w:t>
      </w:r>
    </w:p>
    <w:p>
      <w:pPr>
        <w:spacing w:after="120" w:line="276"/>
        <w:ind w:firstLine="709"/>
        <w:jc w:val="both"/>
      </w:pPr>
      <w:r>
        <w:t xml:space="preserve">Организация письмом от [дата] № [номер] подтвердила возможность исследования за [срок] и стоимость [сумма] руб. Заявитель готов внести определённую судом сумму на депозит в установленный срок.</w:t>
      </w:r>
    </w:p>
    <w:p>
      <w:pPr>
        <w:spacing w:after="120" w:line="276"/>
        <w:ind w:firstLine="709"/>
        <w:jc w:val="both"/>
      </w:pPr>
      <w:r>
        <w:t xml:space="preserve">Для исследования необходимы: первоначальное определение, спорное заключение, сведения реестра на дату оценки, лицензионные договоры и соглашения, документы бухгалтерского и хозяйственного учёта, указанные в приложенном перечне. Материалы передаются эксперту судом; самостоятельная передача новых доказательств заявителем не предлагается.</w:t>
      </w:r>
    </w:p>
    <w:p>
      <w:pPr>
        <w:spacing w:after="120" w:line="276"/>
        <w:ind w:firstLine="709"/>
        <w:jc w:val="both"/>
      </w:pPr>
      <w:r>
        <w:t xml:space="preserve">На основании статей 41, 71, 82, 86, 87 и 108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Назначить повторную судебную экспертизу по вопросу: «[вопрос из первоначального определения с точными номерами знаков и датой оценки]».</w:t>
      </w:r>
    </w:p>
    <w:p>
      <w:pPr>
        <w:spacing w:after="120" w:line="276"/>
        <w:ind w:left="360" w:hanging="360"/>
        <w:jc w:val="both"/>
      </w:pPr>
      <w:r>
        <w:t xml:space="preserve">2. Поручить проведение экспертизы другому эксперту [ФИО и организация] либо иной определённой судом комиссии с необходимой квалификацией.</w:t>
      </w:r>
    </w:p>
    <w:p>
      <w:pPr>
        <w:spacing w:after="120" w:line="276"/>
        <w:ind w:left="360" w:hanging="360"/>
        <w:jc w:val="both"/>
      </w:pPr>
      <w:r>
        <w:t xml:space="preserve">3. Определить перечень предоставляемых материалов с учётом приложенного списка и установленных судом исходных обстоятельств.</w:t>
      </w:r>
    </w:p>
    <w:p>
      <w:pPr>
        <w:spacing w:after="120" w:line="276"/>
        <w:ind w:left="360" w:hanging="360"/>
        <w:jc w:val="both"/>
      </w:pPr>
      <w:r>
        <w:t xml:space="preserve">4. Установить размер и срок внесения средств на депозит суда и срок проведения экспертизы.</w:t>
      </w:r>
    </w:p>
    <w:p>
      <w:pPr>
        <w:spacing w:after="120" w:line="276"/>
        <w:ind w:left="360" w:hanging="360"/>
        <w:jc w:val="both"/>
      </w:pPr>
      <w:r>
        <w:t xml:space="preserve">5. Приобщить документы, подтверждающие основания настоящего ходатайства.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Перечень оспариваемых выводов с указанием страниц заключения.</w:t>
      </w:r>
    </w:p>
    <w:p>
      <w:pPr>
        <w:spacing w:after="120" w:line="276"/>
        <w:ind w:left="360" w:hanging="360"/>
        <w:jc w:val="both"/>
      </w:pPr>
      <w:r>
        <w:t xml:space="preserve">2. Реестровые сведения и договоры, подтверждающие исходные данные.</w:t>
      </w:r>
    </w:p>
    <w:p>
      <w:pPr>
        <w:spacing w:after="120" w:line="276"/>
        <w:ind w:left="360" w:hanging="360"/>
        <w:jc w:val="both"/>
      </w:pPr>
      <w:r>
        <w:t xml:space="preserve">3. Документы, показывающие расхождение использованных данных.</w:t>
      </w:r>
    </w:p>
    <w:p>
      <w:pPr>
        <w:spacing w:after="120" w:line="276"/>
        <w:ind w:left="360" w:hanging="360"/>
        <w:jc w:val="both"/>
      </w:pPr>
      <w:r>
        <w:t xml:space="preserve">4. Письмо экспертной организации о возможности, сроке и стоимости исследования.</w:t>
      </w:r>
    </w:p>
    <w:p>
      <w:pPr>
        <w:spacing w:after="120" w:line="276"/>
        <w:ind w:left="360" w:hanging="360"/>
        <w:jc w:val="both"/>
      </w:pPr>
      <w:r>
        <w:t xml:space="preserve">5. Сведения о квалификации предложенных экспертов.</w:t>
      </w:r>
    </w:p>
    <w:p>
      <w:pPr>
        <w:spacing w:after="120" w:line="276"/>
        <w:ind w:left="360" w:hanging="360"/>
        <w:jc w:val="both"/>
      </w:pPr>
      <w:r>
        <w:t xml:space="preserve">6. Перечень материалов для передачи эксперту.</w:t>
      </w:r>
    </w:p>
    <w:p>
      <w:pPr>
        <w:spacing w:after="120" w:line="276"/>
        <w:ind w:left="360" w:hanging="360"/>
        <w:jc w:val="both"/>
      </w:pPr>
      <w:r>
        <w:t xml:space="preserve">7. Доказательства направления ходатайства и отсутствующих приложений участникам дела.</w:t>
      </w:r>
    </w:p>
    <w:p>
      <w:pPr>
        <w:spacing w:after="120" w:line="276"/>
        <w:ind w:left="360" w:hanging="360"/>
        <w:jc w:val="both"/>
      </w:pPr>
      <w:r>
        <w:t xml:space="preserve">8. Документы о полномочиях представителя, если ранее не представлены.</w:t>
      </w:r>
    </w:p>
    <w:p>
      <w:pPr>
        <w:spacing w:after="120" w:line="276"/>
        <w:ind w:firstLine="709"/>
        <w:jc w:val="both"/>
      </w:pPr>
      <w:r>
        <w:t xml:space="preserve">[дата] 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2026-11-05T14:32:13.659Z</dcterms:created>
  <dcterms:modified xsi:type="dcterms:W3CDTF">2026-11-05T14:32:13.659Z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