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 управляющей организации, ИНН, ОГРН, адрес]</w:t>
      </w:r>
    </w:p>
    <w:p>
      <w:pPr>
        <w:spacing w:after="0"/>
        <w:jc w:val="right"/>
      </w:pPr>
      <w:r>
        <w:t xml:space="preserve">Заинтересованное лицо: [наименование органа государственного жилищного надзора, адрес]</w:t>
      </w:r>
    </w:p>
    <w:p>
      <w:pPr>
        <w:spacing w:after="0"/>
        <w:jc w:val="right"/>
      </w:pPr>
      <w:r>
        <w:t xml:space="preserve">Третье лицо, представляющее пояснения: [наименование управляющей организации, ИНН, ОГРН]</w:t>
      </w:r>
    </w:p>
    <w:p>
      <w:pPr>
        <w:spacing w:after="0"/>
        <w:jc w:val="right"/>
      </w:pPr>
      <w:r>
        <w:t xml:space="preserve">Адрес: [адрес], электронная почта: [адрес], телефон: [номер]</w:t>
      </w:r>
    </w:p>
    <w:p>
      <w:pPr>
        <w:spacing w:after="0"/>
        <w:jc w:val="right"/>
      </w:pPr>
      <w:r>
        <w:t xml:space="preserve">Представитель: [ФИО, адрес для корреспонденции]</w:t>
      </w:r>
    </w:p>
    <w:p>
      <w:pPr>
        <w:spacing w:after="0"/>
        <w:jc w:val="right"/>
      </w:pPr>
      <w:r>
        <w:t xml:space="preserve">Иные участники: [наименование или ФИО, статус,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ОБЪЯСНЕНИЯ ТРЕТЬЕГО ЛИЦА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законности приказа жилищной инспекции и признаках ничтожности решений собраний собственников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заявлению [наименование] о признании незаконным приказа [орган] от [дата] № [номер], которым [содержание изменения реестра лицензий применительно к дому по адресу]. Определением от [дата] общество [наименование третьего лица] привлечено к участию в деле в качестве третьего лица, не заявляющего самостоятельных требований относительно предмета спора.</w:t>
      </w:r>
    </w:p>
    <w:p>
      <w:pPr>
        <w:spacing w:after="120" w:line="276"/>
        <w:ind w:firstLine="709"/>
        <w:jc w:val="both"/>
      </w:pPr>
      <w:r>
        <w:t xml:space="preserve">Приказ затрагивает права общества, поскольку [сведения об управлении домом, решение собственников, договор управления]. Отмена приказа повлияет на [конкретные права или обязанности по отношению к стороне]. Общество возражает против удовлетворения заявления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изменения реестра лицензий</w:t>
      </w:r>
    </w:p>
    <w:p>
      <w:pPr>
        <w:spacing w:after="120" w:line="276"/>
        <w:ind w:firstLine="709"/>
        <w:jc w:val="both"/>
      </w:pPr>
      <w:r>
        <w:t xml:space="preserve">Решением общего собрания собственников помещений дома по адресу [адрес], оформленным протоколом от [дата] № [номер], общество выбрано управляющей организацией. Указанное решение, договор управления от [дата] № [номер] и документы о направлении сведений в инспекцию представлены в томе [номер], листы [номера].</w:t>
      </w:r>
    </w:p>
    <w:p>
      <w:pPr>
        <w:spacing w:after="120" w:line="276"/>
        <w:ind w:firstLine="709"/>
        <w:jc w:val="both"/>
      </w:pPr>
      <w:r>
        <w:t xml:space="preserve">Заявитель ссылается на решения, оформленные протоколами от [даты, номера], согласно которым [содержание противопоставленных решений]. Документы поступили в инспекцию [дата], что подтверждается [регистрационные сведения]. При проверке инспекция выявила [конкретные признаки ничтожности], указанные на страницах [номера] оспариваемого приказа.</w:t>
      </w:r>
    </w:p>
    <w:p>
      <w:pPr>
        <w:spacing w:after="120" w:line="276"/>
        <w:ind w:firstLine="709"/>
        <w:jc w:val="both"/>
      </w:pPr>
      <w:r>
        <w:t xml:space="preserve">Основанием оценки послужили [перечень документов, обращений и иных материалов]. Они относятся к тем решениям, которыми заявитель обосновывает право управления домом, и позволяют проверить обстоятельства их принятия. Общество поддерживает вывод инспекции с учётом приведённых ниже доказательств.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Отсутствие отдельного решения суда не исключает проверку ничтожности</w:t>
      </w:r>
    </w:p>
    <w:p>
      <w:pPr>
        <w:spacing w:after="120" w:line="276"/>
        <w:ind w:firstLine="709"/>
        <w:jc w:val="both"/>
      </w:pPr>
      <w:r>
        <w:t xml:space="preserve">Заявитель утверждает, что инспекция не могла учитывать ничтожность решений собраний без предварительного обращения с самостоятельным иском. Этот довод противоречит порядку проверки документов при внесении изменений в реестр лицензий.</w:t>
      </w:r>
    </w:p>
    <w:p>
      <w:pPr>
        <w:spacing w:after="120" w:line="276"/>
        <w:ind w:firstLine="709"/>
        <w:jc w:val="both"/>
      </w:pPr>
      <w:r>
        <w:t xml:space="preserve">Подпункт «е» пункта 5 Порядка и сроков внесения изменений в реестр лицензий субъекта Российской Федерации, утверждённого приказом Минстроя России от 25.12.2015 № 938/пр, предусматривает проверку отсутствия признаков ничтожности решения общего собрания по основаниям ГК РФ. Пункты 7 и 9 Порядка предусматривают отказ во внесении изменений при выявлении соответствующих признаков.</w:t>
      </w:r>
    </w:p>
    <w:p>
      <w:pPr>
        <w:spacing w:after="120" w:line="276"/>
        <w:ind w:firstLine="709"/>
        <w:jc w:val="both"/>
      </w:pPr>
      <w:r>
        <w:t xml:space="preserve">В определении от 01.10.2026 № 308-ЭС26-4036 по делу № А63-11136/2024 Верховный Суд РФ указал, что орган жилищного надзора обязан учитывать выявленные признаки ничтожности и не должен предварительно добиваться признания решения ничтожным в отдельном деле. Заинтересованное лицо при этом вправе оспорить решение инспекции.</w:t>
      </w:r>
    </w:p>
    <w:p>
      <w:pPr>
        <w:spacing w:after="120" w:line="276"/>
        <w:ind w:firstLine="709"/>
        <w:jc w:val="both"/>
      </w:pPr>
      <w:r>
        <w:t xml:space="preserve">Следовательно, само по себе отсутствие самостоятельного судебного акта о недействительности протоколов от [даты] не является достаточным основанием для удовлетворения заявления. Суду необходимо проверить действительные обстоятельства принятия решений и доказательства, которыми обоснован приказ.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Представленные материалы ставят под сомнение сам факт проведения собрания</w:t>
      </w:r>
    </w:p>
    <w:p>
      <w:pPr>
        <w:spacing w:after="120" w:line="276"/>
        <w:ind w:firstLine="709"/>
        <w:jc w:val="both"/>
      </w:pPr>
      <w:r>
        <w:t xml:space="preserve">В протоколе от [дата] № [номер] гражданин [ФИО] указан как [инициатор, председатель, секретарь, член счётной комиссии]. Между тем [вид доказательства: письменное объяснение, показания в заседании с датой и ссылкой на протокол] содержит сведения о том, что [точное содержание сообщённых обстоятельств].</w:t>
      </w:r>
    </w:p>
    <w:p>
      <w:pPr>
        <w:spacing w:after="120" w:line="276"/>
        <w:ind w:firstLine="709"/>
        <w:jc w:val="both"/>
      </w:pPr>
      <w:r>
        <w:t xml:space="preserve">Эти сведения относятся не только к принадлежности отдельного голоса. Они касаются организации и проведения собрания, составления протокола и подсчёта результатов. Поэтому довод заявителя о том, что площадь помещения указанного собственника не влияет на итог голосования, не опровергает названные обстоятельства.</w:t>
      </w:r>
    </w:p>
    <w:p>
      <w:pPr>
        <w:spacing w:after="120" w:line="276"/>
        <w:ind w:firstLine="709"/>
        <w:jc w:val="both"/>
      </w:pPr>
      <w:r>
        <w:t xml:space="preserve">Дополнительно представлены [коллективное обращение, переписка, сведения об уведомлениях, материалы проверки], подтверждающие [конкретные факты]. Их содержание согласуется с [другие доказательства]. В совокупности материалы свидетельствуют о [вывод, который непосредственно следует из подтверждённых обстоятельств].</w:t>
      </w:r>
    </w:p>
    <w:p>
      <w:pPr>
        <w:spacing w:after="120" w:line="276"/>
        <w:ind w:firstLine="709"/>
        <w:jc w:val="both"/>
      </w:pPr>
      <w:r>
        <w:t xml:space="preserve">Общество не приравнивает сам факт обращения в правоохранительный орган к установленной подделке. Сведения о проверке используются только в части содержащихся в ней доказательств: [наименование, дата, содержание и листы дела]. Вопрос об уголовной ответственности отдельных лиц в настоящих пояснениях не ставится.</w:t>
      </w:r>
    </w:p>
    <w:p>
      <w:pPr>
        <w:spacing w:after="120" w:line="276"/>
        <w:ind w:firstLine="709"/>
        <w:jc w:val="both"/>
      </w:pPr>
      <w:r>
        <w:t xml:space="preserve">Заключение [эксперта или специалиста] от [дата] № [номер] содержит вывод [точная формулировка без расширительного толкования]. Его доказательственное значение состоит в [объяснение]. При наличии вероятностного вывода или невозможности ответить на вопрос общество не утверждает, что этим заключением достоверно установлен исполнитель спорной подписи.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голосов не устраняет самостоятельные признаки ничтожности</w:t>
      </w:r>
    </w:p>
    <w:p>
      <w:pPr>
        <w:spacing w:after="120" w:line="276"/>
        <w:ind w:firstLine="709"/>
        <w:jc w:val="both"/>
      </w:pPr>
      <w:r>
        <w:t xml:space="preserve">Статья 181.5 ГК РФ определяет основания ничтожности решений собраний, включая отсутствие необходимого кворума. Для оценки протокола от [дата] общество представило расчёт, основанный на [документы о площадях, правах и распределении голосов на соответствующую дату].</w:t>
      </w:r>
    </w:p>
    <w:p>
      <w:pPr>
        <w:spacing w:after="120" w:line="276"/>
        <w:ind w:firstLine="709"/>
        <w:jc w:val="both"/>
      </w:pPr>
      <w:r>
        <w:t xml:space="preserve">Общая величина голосов составляет [значение и единица измерения]. Участие, подтверждённое надлежащими документами, составляет [значение]. Спорные позиции отражены в расчёте отдельно: [перечень и основания сомнений]. Итоговый показатель равен [процент] и оценивается с учётом [применимая норма о кворуме или числе голосов для конкретного решения].</w:t>
      </w:r>
    </w:p>
    <w:p>
      <w:pPr>
        <w:spacing w:after="120" w:line="276"/>
        <w:ind w:firstLine="709"/>
        <w:jc w:val="both"/>
      </w:pPr>
      <w:r>
        <w:t xml:space="preserve">Независимо от арифметической оценки суду необходимо исследовать доводы о фактическом непроведении собрания. Ссылка на пункт 4 статьи 181.4 ГК РФ не заменяет такую проверку, поскольку спор не сводится к возможности отдельного собственника повлиять на результат.</w:t>
      </w:r>
    </w:p>
    <w:p>
      <w:pPr>
        <w:spacing w:after="120" w:line="276"/>
        <w:ind w:firstLine="709"/>
        <w:jc w:val="both"/>
      </w:pPr>
      <w:r>
        <w:t xml:space="preserve">В указанном определении № 308-ЭС26-4036 Верховный Суд РФ специально разграничил неучастие отдельных собственников и сведения лиц, указанных организаторами, о том, что собрание вообще не проводилось. Аналогичное разграничение необходимо применить к доказательствам настоящего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Пределы проверки приказа и итоговая позиция</w:t>
      </w:r>
    </w:p>
    <w:p>
      <w:pPr>
        <w:spacing w:after="120" w:line="276"/>
        <w:ind w:firstLine="709"/>
        <w:jc w:val="both"/>
      </w:pPr>
      <w:r>
        <w:t xml:space="preserve">По части 5 статьи 200 АПК РФ обязанность доказать законность оспариваемого решения и обстоятельства его принятия возлагается на принявший решение орган. Общество не предлагает заменить эту обязанность предположениями и ссылается на конкретные материалы дела.</w:t>
      </w:r>
    </w:p>
    <w:p>
      <w:pPr>
        <w:spacing w:after="120" w:line="276"/>
        <w:ind w:firstLine="709"/>
        <w:jc w:val="both"/>
      </w:pPr>
      <w:r>
        <w:t xml:space="preserve">Вместе с тем суд при проверке приказа оценивает также иные признаки ничтожности, следующие из доказательств, даже если инспекция не назвала их непосредственно. Этот подход изложен в определении № 308-ЭС26-4036 со ссылкой на пункт 15 постановления Пленума ВС РФ от 28.06.2022 № 21.</w:t>
      </w:r>
    </w:p>
    <w:p>
      <w:pPr>
        <w:spacing w:after="120" w:line="276"/>
        <w:ind w:firstLine="709"/>
        <w:jc w:val="both"/>
      </w:pPr>
      <w:r>
        <w:t xml:space="preserve">Довод заявителя о [конкретный довод] не опровергает законность приказа, поскольку [объяснение со ссылкой на факт, норму и доказательство]. Материалы подтверждают [вывод по оспариваемому решению]. Оснований для признания приказа незаконным по заявленным обстоятельствам не имеется.</w:t>
      </w:r>
    </w:p>
    <w:p>
      <w:pPr>
        <w:spacing w:after="120" w:line="276"/>
        <w:ind w:firstLine="709"/>
        <w:jc w:val="both"/>
      </w:pPr>
      <w:r>
        <w:t xml:space="preserve">Общество не заявляет самостоятельного требования о признании решений собраний недействительными либо о взыскании денежных средств. Настоящие объяснения представлены для разрешения вопроса о законности приказа в пределах предмета рассматриваемого дела.</w:t>
      </w:r>
    </w:p>
    <w:p>
      <w:pPr>
        <w:spacing w:after="120" w:line="276"/>
        <w:ind w:firstLine="709"/>
        <w:jc w:val="both"/>
      </w:pPr>
      <w:r>
        <w:t xml:space="preserve">На основании статей 41, 51, 65, 71, 81, 200, 201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письменные объяснения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 оценке законности приказа исследовать перечисленные доказательства в совокупности, включая обстоятельства фактического проведения спорных собраний.</w:t>
      </w:r>
    </w:p>
    <w:p>
      <w:pPr>
        <w:spacing w:after="120" w:line="276"/>
        <w:ind w:left="360" w:hanging="360"/>
        <w:jc w:val="both"/>
      </w:pPr>
      <w:r>
        <w:t xml:space="preserve">3. Отказать [наименование заявителя] в удовлетворении заявления о признании незаконным приказа [орган] от [дата] № [номер].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и отсутствующих у участников приложений.</w:t>
      </w:r>
    </w:p>
    <w:p>
      <w:pPr>
        <w:spacing w:after="120" w:line="276"/>
        <w:ind w:left="360" w:hanging="360"/>
        <w:jc w:val="both"/>
      </w:pPr>
      <w:r>
        <w:t xml:space="preserve">2. Хронология решений собственников и изменения реестра со ссылками на материалы дела.</w:t>
      </w:r>
    </w:p>
    <w:p>
      <w:pPr>
        <w:spacing w:after="120" w:line="276"/>
        <w:ind w:left="360" w:hanging="360"/>
        <w:jc w:val="both"/>
      </w:pPr>
      <w:r>
        <w:t xml:space="preserve">3. Расчёт голосов с указанием источников сведений о площадях и правах.</w:t>
      </w:r>
    </w:p>
    <w:p>
      <w:pPr>
        <w:spacing w:after="120" w:line="276"/>
        <w:ind w:left="360" w:hanging="360"/>
        <w:jc w:val="both"/>
      </w:pPr>
      <w:r>
        <w:t xml:space="preserve">4. [Документы, подтверждающие указанные в пояснениях обстоятельства и отсутствующие в деле].</w:t>
      </w:r>
    </w:p>
    <w:p>
      <w:pPr>
        <w:spacing w:after="120" w:line="276"/>
        <w:ind w:left="360" w:hanging="360"/>
        <w:jc w:val="both"/>
      </w:pPr>
      <w:r>
        <w:t xml:space="preserve">5. [Материалы проверки с точным обозначением относимых документов].</w:t>
      </w:r>
    </w:p>
    <w:p>
      <w:pPr>
        <w:spacing w:after="120" w:line="276"/>
        <w:ind w:left="360" w:hanging="360"/>
        <w:jc w:val="both"/>
      </w:pPr>
      <w:r>
        <w:t xml:space="preserve">6. Документы о полномочиях подписанта, если отсутствуют в деле.</w:t>
      </w:r>
    </w:p>
    <w:p>
      <w:pPr>
        <w:spacing w:after="120" w:line="276"/>
        <w:ind w:firstLine="709"/>
        <w:jc w:val="both"/>
      </w:pPr>
      <w:r>
        <w:t xml:space="preserve">[Должность или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2026-11-06T17:19:46.191Z</dcterms:created>
  <dcterms:modified xsi:type="dcterms:W3CDTF">2026-11-06T17:19:46.191Z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