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[Полное наименование организации]</w:t>
      </w:r>
    </w:p>
    <w:p>
      <w:pPr>
        <w:spacing w:after="0"/>
        <w:jc w:val="right"/>
      </w:pPr>
      <w:r>
        <w:t xml:space="preserve">ОГРН [номер], ИНН [номер]</w:t>
      </w:r>
    </w:p>
    <w:p>
      <w:pPr>
        <w:spacing w:after="0"/>
        <w:jc w:val="right"/>
      </w:pPr>
      <w:r>
        <w:t xml:space="preserve">ПРИКАЗ № [номер]</w:t>
      </w:r>
    </w:p>
    <w:p>
      <w:pPr>
        <w:spacing w:after="0"/>
        <w:jc w:val="right"/>
      </w:pPr>
      <w:r>
        <w:t xml:space="preserve">[место] [дата]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ПРИКАЗ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о подготовке к применению нового порядка и формата 6-НДФЛ</w:t>
      </w:r>
    </w:p>
    <w:p>
      <w:pPr>
        <w:spacing w:after="120" w:line="276"/>
        <w:ind w:firstLine="709"/>
        <w:jc w:val="both"/>
      </w:pPr>
      <w:r>
        <w:t xml:space="preserve">В связи с принятием приказа ФНС России от 25.09.2026 № СД-1-11/746@, изменяющего порядок заполнения и формат представления расчёта 6-НДФЛ начиная с расчёта за I квартал 2027 года, в целях проверки полномочий представителей, корректного использования кодов и надлежащего подтверждения отправки отчётности ПРИКАЗЫВАЮ: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Организация перехода</w:t>
      </w:r>
    </w:p>
    <w:p>
      <w:pPr>
        <w:spacing w:after="120" w:line="276"/>
        <w:ind w:firstLine="709"/>
        <w:jc w:val="both"/>
      </w:pPr>
      <w:r>
        <w:t xml:space="preserve">1.1. Назначить координатором перехода [должность, ФИО]. Координатор формирует общий план, контролирует исполнение поручений и представляет руководителю результат проверки готовности не позднее [дата].</w:t>
      </w:r>
    </w:p>
    <w:p>
      <w:pPr>
        <w:spacing w:after="120" w:line="276"/>
        <w:ind w:firstLine="709"/>
        <w:jc w:val="both"/>
      </w:pPr>
      <w:r>
        <w:t xml:space="preserve">1.2. Установить, что переход включает правовую, учётную и техническую проверку. Установка обновления программного обеспечения сама по себе не является подтверждением готовности к представлению расчёта.</w:t>
      </w:r>
    </w:p>
    <w:p>
      <w:pPr>
        <w:spacing w:after="120" w:line="276"/>
        <w:ind w:firstLine="709"/>
        <w:jc w:val="both"/>
      </w:pPr>
      <w:r>
        <w:t xml:space="preserve">1.3. При исполнении настоящего приказа учитывать, что новые правила применяются с расчёта за I квартал 2027 года. Для расчётов и исправлений за иные периоды применимость редакции определяется отдельно. Дата отправки не подменяет отчётный период.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Проверка порядка заполнения</w:t>
      </w:r>
    </w:p>
    <w:p>
      <w:pPr>
        <w:spacing w:after="120" w:line="276"/>
        <w:ind w:firstLine="709"/>
        <w:jc w:val="both"/>
      </w:pPr>
      <w:r>
        <w:t xml:space="preserve">2.1. Главному бухгалтеру [ФИО] до [дата] определить изменения, относящиеся к деятельности организации, и подготовить перечень контрольных ситуаций.</w:t>
      </w:r>
    </w:p>
    <w:p>
      <w:pPr>
        <w:spacing w:after="120" w:line="276"/>
        <w:ind w:firstLine="709"/>
        <w:jc w:val="both"/>
      </w:pPr>
      <w:r>
        <w:t xml:space="preserve">2.2. В перечне отразить: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выбор отчётного периода и применимой редакции правил;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заполнение реквизита электронной доверенности посредством GUID;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использование актуальных кодов периодов при наличии специальных оснований;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применимость новых статусов получателей дохода;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соответствие электронного файла версии формата 5.06 для надлежащего периода;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порядок проверки результата отправки.</w:t>
      </w:r>
    </w:p>
    <w:p>
      <w:pPr>
        <w:spacing w:after="120" w:line="276"/>
        <w:ind w:firstLine="709"/>
        <w:jc w:val="both"/>
      </w:pPr>
      <w:r>
        <w:t xml:space="preserve">2.3. Код места представления 340 не использовать без подтверждения соответствия указанной в приказе ФНС категории иностранной организации - налогового агента. При отсутствии соответствующего основания сохранить применимый организации порядок выбора места представления.</w:t>
      </w:r>
    </w:p>
    <w:p>
      <w:pPr>
        <w:spacing w:after="120" w:line="276"/>
        <w:ind w:firstLine="709"/>
        <w:jc w:val="both"/>
      </w:pPr>
      <w:r>
        <w:t xml:space="preserve">2.4. По каждому нестандартному коду обеспечить краткое обоснование с указанием фактов, документов и ответственного лица. Техническая допустимость значения в программе не считается достаточным основанием его применения.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Сведения о получателях дохода</w:t>
      </w:r>
    </w:p>
    <w:p>
      <w:pPr>
        <w:spacing w:after="120" w:line="276"/>
        <w:ind w:firstLine="709"/>
        <w:jc w:val="both"/>
      </w:pPr>
      <w:r>
        <w:t xml:space="preserve">3.1. Руководителю кадровой службы [ФИО] совместно с бухгалтерией до [дата] проверить полноту относимых сведений, необходимых для определения статусов получателей дохода.</w:t>
      </w:r>
    </w:p>
    <w:p>
      <w:pPr>
        <w:spacing w:after="120" w:line="276"/>
        <w:ind w:firstLine="709"/>
        <w:jc w:val="both"/>
      </w:pPr>
      <w:r>
        <w:t xml:space="preserve">3.2. При оценке применимости кода 9 проверить совокупность признаков, предусмотренных новым описанием: гражданство и налоговое резидентство государства - члена ЕАЭС, получение дохода от трудовой деятельности в Российской Федерации и отсутствие налогового резидентства Российской Федерации.</w:t>
      </w:r>
    </w:p>
    <w:p>
      <w:pPr>
        <w:spacing w:after="120" w:line="276"/>
        <w:ind w:firstLine="709"/>
        <w:jc w:val="both"/>
      </w:pPr>
      <w:r>
        <w:t xml:space="preserve">3.3. Наличие иностранного паспорта само по себе не признавать достаточным для выбора кода 9. Неустановленные обстоятельства передавать на дополнительную оценку с указанием отсутствующих сведений.</w:t>
      </w:r>
    </w:p>
    <w:p>
      <w:pPr>
        <w:spacing w:after="120" w:line="276"/>
        <w:ind w:firstLine="709"/>
        <w:jc w:val="both"/>
      </w:pPr>
      <w:r>
        <w:t xml:space="preserve">3.4. Применимость кода 0 проверять в отношении конкретного лица и относимого периода. Источник сведений и дата проверки фиксируются. Совпадение имени или неподтверждённое сообщение не используются как окончательное основание.</w:t>
      </w:r>
    </w:p>
    <w:p>
      <w:pPr>
        <w:spacing w:after="120" w:line="276"/>
        <w:ind w:firstLine="709"/>
        <w:jc w:val="both"/>
      </w:pPr>
      <w:r>
        <w:t xml:space="preserve">3.5. Передача и хранение персональных данных осуществляются по действующим правилам организации. Для технических испытаний используются согласованные обезличенные или специально подготовленные данные.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Полномочия и электронная доверенность</w:t>
      </w:r>
    </w:p>
    <w:p>
      <w:pPr>
        <w:spacing w:after="120" w:line="276"/>
        <w:ind w:firstLine="709"/>
        <w:jc w:val="both"/>
      </w:pPr>
      <w:r>
        <w:t xml:space="preserve">4.1. Юридической службе [ответственное лицо] до [дата] проверить действующие документы о полномочиях лиц, представляющих расчёт от имени организации.</w:t>
      </w:r>
    </w:p>
    <w:p>
      <w:pPr>
        <w:spacing w:after="120" w:line="276"/>
        <w:ind w:firstLine="709"/>
        <w:jc w:val="both"/>
      </w:pPr>
      <w:r>
        <w:t xml:space="preserve">4.2. Для доверенности, совершённой в форме электронного документа в соответствии с пунктом 3 статьи 29 НК РФ, обеспечить проверку GUID, доверителя, представителя, срока действия, объёма полномочий и сведений о прекращении или изменении доверенности.</w:t>
      </w:r>
    </w:p>
    <w:p>
      <w:pPr>
        <w:spacing w:after="120" w:line="276"/>
        <w:ind w:firstLine="709"/>
        <w:jc w:val="both"/>
      </w:pPr>
      <w:r>
        <w:t xml:space="preserve">4.3. Указание только GUID в соответствующем реквизите расчёта не заменяет проверку самой доверенности. Номер бумажного документа не подставляется в качестве идентификатора электронной доверенности.</w:t>
      </w:r>
    </w:p>
    <w:p>
      <w:pPr>
        <w:spacing w:after="120" w:line="276"/>
        <w:ind w:firstLine="709"/>
        <w:jc w:val="both"/>
      </w:pPr>
      <w:r>
        <w:t xml:space="preserve">4.4. Ответственным за сообщение об отзыве, замене или прекращении доверенности назначить [должность, ФИО]. Информация направляется бухгалтерии, координатору и внешнему представителю способом [канал] без неоправданной задержки.</w:t>
      </w:r>
    </w:p>
    <w:p>
      <w:pPr>
        <w:spacing w:after="120" w:line="276"/>
        <w:ind w:firstLine="709"/>
        <w:jc w:val="both"/>
      </w:pPr>
      <w:r>
        <w:t xml:space="preserve">4.5. Перед рабочей отправкой ответственное лицо повторно проверяет актуальность полномочий на дату действия. Сведения из сохранённого шаблона программы используются только после такой проверки.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Программное обеспечение и тестирование</w:t>
      </w:r>
    </w:p>
    <w:p>
      <w:pPr>
        <w:spacing w:after="120" w:line="276"/>
        <w:ind w:firstLine="709"/>
        <w:jc w:val="both"/>
      </w:pPr>
      <w:r>
        <w:t xml:space="preserve">5.1. Руководителю ИТ-подразделения [ФИО] совместно с бухгалтерией согласовать обновление используемого программного обеспечения и средств электронного обмена до [дата].</w:t>
      </w:r>
    </w:p>
    <w:p>
      <w:pPr>
        <w:spacing w:after="120" w:line="276"/>
        <w:ind w:firstLine="709"/>
        <w:jc w:val="both"/>
      </w:pPr>
      <w:r>
        <w:t xml:space="preserve">5.2. Проверка включает выбор периода, формирование файла требуемой версии, передачу реквизита доверенности, применение обновлённых справочников и получение результата обработки в предусмотренном маршруте.</w:t>
      </w:r>
    </w:p>
    <w:p>
      <w:pPr>
        <w:spacing w:after="120" w:line="276"/>
        <w:ind w:firstLine="709"/>
        <w:jc w:val="both"/>
      </w:pPr>
      <w:r>
        <w:t xml:space="preserve">5.3. Результаты оформляются протоколом с указанием версии программы, версии формата, даты, сценария, ожидаемого результата и фактического результата. Ошибки фиксируются с ответственным и сроком устранения.</w:t>
      </w:r>
    </w:p>
    <w:p>
      <w:pPr>
        <w:spacing w:after="120" w:line="276"/>
        <w:ind w:firstLine="709"/>
        <w:jc w:val="both"/>
      </w:pPr>
      <w:r>
        <w:t xml:space="preserve">5.4. Тестирование проводится в согласованной среде. Не допускается направление заведомо недостоверной рабочей отчётности в налоговый орган под видом испытания.</w:t>
      </w:r>
    </w:p>
    <w:p>
      <w:pPr>
        <w:spacing w:after="120" w:line="276"/>
        <w:ind w:firstLine="709"/>
        <w:jc w:val="both"/>
      </w:pPr>
      <w:r>
        <w:t xml:space="preserve">5.5. При обнаружении технической ошибки ИТ-подразделение организует исправление, а бухгалтерия повторно проверяет затронутый сценарий. Изменение программы не должно самопроизвольно менять подтверждённую правовую квалификацию данных.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Внешний исполнитель</w:t>
      </w:r>
    </w:p>
    <w:p>
      <w:pPr>
        <w:spacing w:after="120" w:line="276"/>
        <w:ind w:firstLine="709"/>
        <w:jc w:val="both"/>
      </w:pPr>
      <w:r>
        <w:t xml:space="preserve">6.1. При привлечении [наименование подрядчика] ответственному за договор [ФИО] до [дата] согласовать необходимые обязанности исполнителя, включая обновление формата, проверку переданных реквизитов, сообщение об ошибках и передачу подтверждений отправки.</w:t>
      </w:r>
    </w:p>
    <w:p>
      <w:pPr>
        <w:spacing w:after="120" w:line="276"/>
        <w:ind w:firstLine="709"/>
        <w:jc w:val="both"/>
      </w:pPr>
      <w:r>
        <w:t xml:space="preserve">6.2. Настоящий приказ не заменяет договорного согласования с подрядчиком. Координатор проверяет наличие подтверждённого порядка взаимодействия до признания перехода завершённым.</w:t>
      </w:r>
    </w:p>
    <w:p>
      <w:pPr>
        <w:spacing w:after="120" w:line="276"/>
        <w:ind w:firstLine="709"/>
        <w:jc w:val="both"/>
      </w:pPr>
      <w:r>
        <w:t xml:space="preserve">6.3. Организация сохраняет контроль исходных сведений и полномочий. Исполнитель не вправе самостоятельно выбирать спорный статус получателя дохода без согласования с ответственным лицом организации.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7. Рабочая отправка и последующий контроль</w:t>
      </w:r>
    </w:p>
    <w:p>
      <w:pPr>
        <w:spacing w:after="120" w:line="276"/>
        <w:ind w:firstLine="709"/>
        <w:jc w:val="both"/>
      </w:pPr>
      <w:r>
        <w:t xml:space="preserve">7.1. Перед отправкой расчёта ответственные лица подписывают контрольный лист: период, формат, коды, полномочия, согласованная версия файла.</w:t>
      </w:r>
    </w:p>
    <w:p>
      <w:pPr>
        <w:spacing w:after="120" w:line="276"/>
        <w:ind w:firstLine="709"/>
        <w:jc w:val="both"/>
      </w:pPr>
      <w:r>
        <w:t xml:space="preserve">7.2. После отправки [должность, ФИО] проверяет результат электронного обмена и сохраняет относящиеся к расчёту подтверждения. Локальная отметка «отправлено» без проверки дальнейшего результата не считается завершением процедуры.</w:t>
      </w:r>
    </w:p>
    <w:p>
      <w:pPr>
        <w:spacing w:after="120" w:line="276"/>
        <w:ind w:firstLine="709"/>
        <w:jc w:val="both"/>
      </w:pPr>
      <w:r>
        <w:t xml:space="preserve">7.3. При выявлении расхождения определяется его характер: формат, полномочия, период либо содержание расчёта. Дальнейшее действие согласуется с бухгалтерией и юридической службой в соответствии с применимой процедурой.</w:t>
      </w:r>
    </w:p>
    <w:p>
      <w:pPr>
        <w:spacing w:after="120" w:line="276"/>
        <w:ind w:firstLine="709"/>
        <w:jc w:val="both"/>
      </w:pPr>
      <w:r>
        <w:t xml:space="preserve">7.4. В досье сохраняются окончательный расчёт, согласования, документы о полномочиях, подтверждения обмена и материалы устранения ошибок. Порядок доступа и хранения определяется законодательством и действующими правилами организации.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8. Заключительные положения</w:t>
      </w:r>
    </w:p>
    <w:p>
      <w:pPr>
        <w:spacing w:after="120" w:line="276"/>
        <w:ind w:firstLine="709"/>
        <w:jc w:val="both"/>
      </w:pPr>
      <w:r>
        <w:t xml:space="preserve">8.1. Координатор представляет отчёт о готовности с перечнем выполненных мероприятий и нерешённых вопросов. При наличии существенного дефекта готовность не подтверждается до его устранения.</w:t>
      </w:r>
    </w:p>
    <w:p>
      <w:pPr>
        <w:spacing w:after="120" w:line="276"/>
        <w:ind w:firstLine="709"/>
        <w:jc w:val="both"/>
      </w:pPr>
      <w:r>
        <w:t xml:space="preserve">8.2. Контроль исполнения настоящего приказа возложить на [должность, ФИО].</w:t>
      </w:r>
    </w:p>
    <w:p>
      <w:pPr>
        <w:spacing w:after="120" w:line="276"/>
        <w:ind w:firstLine="709"/>
        <w:jc w:val="both"/>
      </w:pPr>
      <w:r>
        <w:t xml:space="preserve">Приложения: план перехода; контрольный лист расчёта; форма протокола тестирования; перечень ответственных лиц.</w:t>
      </w:r>
    </w:p>
    <w:p>
      <w:pPr>
        <w:spacing w:after="120" w:line="276"/>
        <w:ind w:firstLine="709"/>
        <w:jc w:val="both"/>
      </w:pPr>
      <w:r>
        <w:t xml:space="preserve">[Руководитель] [подпись] [ФИО]</w:t>
      </w:r>
    </w:p>
    <w:p>
      <w:pPr>
        <w:spacing w:after="120" w:line="276"/>
        <w:ind w:firstLine="709"/>
        <w:jc w:val="both"/>
      </w:pPr>
      <w:r>
        <w:t xml:space="preserve">С приказом ознакомлены: [должности, ФИО, подписи, даты]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2026-11-06T17:19:58.954Z</dcterms:created>
  <dcterms:modified xsi:type="dcterms:W3CDTF">2026-11-06T17:19:58.954Z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