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[Полное наименование бюджетного / автономного учреждения]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>[Дата] № [номер]</w:t>
      </w:r>
    </w:p>
    <w:p>
      <w:pPr>
        <w:spacing w:after="0"/>
        <w:jc w:val="right"/>
      </w:pPr>
      <w:r>
        <w:t xml:space="preserve">[Место издания]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ПРИКАЗ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размещении информации по отдельным платежам в ГИС ГМП и организации внутреннего контроля</w:t>
      </w:r>
    </w:p>
    <w:p>
      <w:pPr>
        <w:spacing w:after="120" w:line="276"/>
        <w:ind w:firstLine="709"/>
        <w:jc w:val="both"/>
      </w:pPr>
      <w:r>
        <w:t xml:space="preserve">В целях организации работы с информацией о платежах в соответствии со статьёй 21.3 Федерального закона от 27.07.2010 № 210-ФЗ, постановлением Правительства РФ от 30.10.2026 № 1431 и уставом [наименование учреждения], с учётом заключения юридической службы от [дата] № [номер], ПРИКАЗЫВАЮ: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Решение по основным работам и услугам</w:t>
      </w:r>
    </w:p>
    <w:p>
      <w:pPr>
        <w:spacing w:after="120" w:line="276"/>
        <w:ind w:firstLine="709"/>
        <w:jc w:val="both"/>
      </w:pPr>
      <w:r>
        <w:t xml:space="preserve">1.1. Принять решение о размещении в Государственной информационной системе о государственных и муниципальных платежах информации, необходимой для уплаты платежей за работы и услуги Учреждения, перечисленные в приложении № 1, в пределах пункта 4 перечня, утверждённого постановлением № 1431.</w:t>
      </w:r>
    </w:p>
    <w:p>
      <w:pPr>
        <w:spacing w:after="120" w:line="276"/>
        <w:ind w:firstLine="709"/>
        <w:jc w:val="both"/>
      </w:pPr>
      <w:r>
        <w:t xml:space="preserve">1.2. В приложение № 1 включаются работы и услуги, отнесённые к основной деятельности Учреждения, после проверки исключений, прямо предусмотренных пунктом 4 перечня. Уставные основания и результат проверки отражаются по каждой позиции.</w:t>
      </w:r>
    </w:p>
    <w:p>
      <w:pPr>
        <w:spacing w:after="120" w:line="276"/>
        <w:ind w:firstLine="709"/>
        <w:jc w:val="both"/>
      </w:pPr>
      <w:r>
        <w:t xml:space="preserve">1.3. Настоящее решение не изменяет договорные основания, стоимость, сроки оплаты и содержание оказываемых услуг. Установление цены, заключение и изменение договоров осуществляются в самостоятельном установленном порядке.</w:t>
      </w:r>
    </w:p>
    <w:p>
      <w:pPr>
        <w:spacing w:after="120" w:line="276"/>
        <w:ind w:firstLine="709"/>
        <w:jc w:val="both"/>
      </w:pPr>
      <w:r>
        <w:t xml:space="preserve">1.4. Работы и услуги, не соответствующие условиям пункта 4, не включаются в приложение под видом основных без отдельной правовой оценки.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Иные категории платежей</w:t>
      </w:r>
    </w:p>
    <w:p>
      <w:pPr>
        <w:spacing w:after="120" w:line="276"/>
        <w:ind w:firstLine="709"/>
        <w:jc w:val="both"/>
      </w:pPr>
      <w:r>
        <w:t xml:space="preserve">2.1. Утвердить реестр применимых к Учреждению видов платежей согласно приложению № 2. По каждой категории указываются пункт перечня, роль Учреждения и правовое основание работы с информацией.</w:t>
      </w:r>
    </w:p>
    <w:p>
      <w:pPr>
        <w:spacing w:after="120" w:line="276"/>
        <w:ind w:firstLine="709"/>
        <w:jc w:val="both"/>
      </w:pPr>
      <w:r>
        <w:t xml:space="preserve">2.2. Платежи за аренду и реализацию имущества оцениваются по пункту 1 перечня отдельно от решения, принятого в разделе 1 настоящего приказа. Условие о решении Учреждения по основным услугам на них автоматически не распространяется.</w:t>
      </w:r>
    </w:p>
    <w:p>
      <w:pPr>
        <w:spacing w:after="120" w:line="276"/>
        <w:ind w:firstLine="709"/>
        <w:jc w:val="both"/>
      </w:pPr>
      <w:r>
        <w:t xml:space="preserve">2.3. Категории судебных депозитов, вознаграждений арбитражных управляющих, спортивных и детских услуг включаются в рабочие процедуры только при наличии соответствующей роли и полномочий Учреждения.</w:t>
      </w:r>
    </w:p>
    <w:p>
      <w:pPr>
        <w:spacing w:after="120" w:line="276"/>
        <w:ind w:firstLine="709"/>
        <w:jc w:val="both"/>
      </w:pPr>
      <w:r>
        <w:t xml:space="preserve">2.4. Не позднее [внутренняя дата] юридической службе совместно с бухгалтерией завершить квалификацию поступлений и представить перечень неразрешённых вопросов с предложениями по их устранению.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Ответственные подразделения</w:t>
      </w:r>
    </w:p>
    <w:p>
      <w:pPr>
        <w:spacing w:after="120" w:line="276"/>
        <w:ind w:firstLine="709"/>
        <w:jc w:val="both"/>
      </w:pPr>
      <w:r>
        <w:t xml:space="preserve">3.1. Назначить координатором [должность, ФИО]. Замещающее лицо: [данные]. Координатор обеспечивает взаимодействие подразделений и контроль исполнения настоящего приказа.</w:t>
      </w:r>
    </w:p>
    <w:p>
      <w:pPr>
        <w:spacing w:after="120" w:line="276"/>
        <w:ind w:firstLine="709"/>
        <w:jc w:val="both"/>
      </w:pPr>
      <w:r>
        <w:t xml:space="preserve">3.2. Руководители подразделений, оказывающих услуги либо осуществляющих работу с имуществом, подтверждают основание начисления, вид платежа, период, плательщика и изменения договорных условий.</w:t>
      </w:r>
    </w:p>
    <w:p>
      <w:pPr>
        <w:spacing w:after="120" w:line="276"/>
        <w:ind w:firstLine="709"/>
        <w:jc w:val="both"/>
      </w:pPr>
      <w:r>
        <w:t xml:space="preserve">3.3. Бухгалтерия отвечает за проверку расчёта сумм, сопоставление начислений и поступлений, подготовку корректировок и сохранение первичных документов в пределах своих полномочий.</w:t>
      </w:r>
    </w:p>
    <w:p>
      <w:pPr>
        <w:spacing w:after="120" w:line="276"/>
        <w:ind w:firstLine="709"/>
        <w:jc w:val="both"/>
      </w:pPr>
      <w:r>
        <w:t xml:space="preserve">3.4. Юридическая служба проверяет квалификацию платежей, применимость исключений, основания перерасчёта и возврата, компетенцию должностных лиц и согласованность договоров.</w:t>
      </w:r>
    </w:p>
    <w:p>
      <w:pPr>
        <w:spacing w:after="120" w:line="276"/>
        <w:ind w:firstLine="709"/>
        <w:jc w:val="both"/>
      </w:pPr>
      <w:r>
        <w:t xml:space="preserve">3.5. Ответственный за информационное взаимодействие [должность, ФИО] обеспечивает передачу сведений по применимому порядку, обработку ответов системы и регистрацию технических ошибок.</w:t>
      </w:r>
    </w:p>
    <w:p>
      <w:pPr>
        <w:spacing w:after="120" w:line="276"/>
        <w:ind w:firstLine="709"/>
        <w:jc w:val="both"/>
      </w:pPr>
      <w:r>
        <w:t xml:space="preserve">3.6. Предоставление доступа и организация замещения осуществляются с персонализацией действий. Использование чужих средств электронной подписи и несанкционированная передача доступа не допускаются.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Подготовка и передача сведений</w:t>
      </w:r>
    </w:p>
    <w:p>
      <w:pPr>
        <w:spacing w:after="120" w:line="276"/>
        <w:ind w:firstLine="709"/>
        <w:jc w:val="both"/>
      </w:pPr>
      <w:r>
        <w:t xml:space="preserve">4.1. Основанием формирования информации является [договор, акт, расчёт, решение или иной документ], позволяющий установить вид, сумму, период и получателя платежа.</w:t>
      </w:r>
    </w:p>
    <w:p>
      <w:pPr>
        <w:spacing w:after="120" w:line="276"/>
        <w:ind w:firstLine="709"/>
        <w:jc w:val="both"/>
      </w:pPr>
      <w:r>
        <w:t xml:space="preserve">4.2. До передачи ответственное подразделение проверяет соответствие сведений договору, реестру платежей и применимому формату. Недостаточные либо противоречивые сведения возвращаются на уточнение с фиксацией причины.</w:t>
      </w:r>
    </w:p>
    <w:p>
      <w:pPr>
        <w:spacing w:after="120" w:line="276"/>
        <w:ind w:firstLine="709"/>
        <w:jc w:val="both"/>
      </w:pPr>
      <w:r>
        <w:t xml:space="preserve">4.3. Канал взаимодействия Учреждения: [прямой обмен / через уполномоченного участника с указанием основания]. Технические требования и сроки определяются [действующий порядок, соглашение, регламент].</w:t>
      </w:r>
    </w:p>
    <w:p>
      <w:pPr>
        <w:spacing w:after="120" w:line="276"/>
        <w:ind w:firstLine="709"/>
        <w:jc w:val="both"/>
      </w:pPr>
      <w:r>
        <w:t xml:space="preserve">4.4. Внутренние контрольные сроки: [этапы, интервалы, ответственные]. Они должны обеспечивать соблюдение внешних требований и не рассматриваются как их изменение.</w:t>
      </w:r>
    </w:p>
    <w:p>
      <w:pPr>
        <w:spacing w:after="120" w:line="276"/>
        <w:ind w:firstLine="709"/>
        <w:jc w:val="both"/>
      </w:pPr>
      <w:r>
        <w:t xml:space="preserve">4.5. Подтверждения передачи, получения и обработки сохраняются в [система, место хранения]. Отсутствие ответа или отказ обработки передаются координатору для устранения.</w:t>
      </w:r>
    </w:p>
    <w:p>
      <w:pPr>
        <w:spacing w:after="120" w:line="276"/>
        <w:ind w:firstLine="709"/>
        <w:jc w:val="both"/>
      </w:pPr>
      <w:r>
        <w:t xml:space="preserve">4.6. При техническом сбое фиксируются время, затронутые сведения, сообщение системы, предпринятые действия и результат восстановления. Пропущенные операции сверяются после устранения сбоя.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Сверка и исправление</w:t>
      </w:r>
    </w:p>
    <w:p>
      <w:pPr>
        <w:spacing w:after="120" w:line="276"/>
        <w:ind w:firstLine="709"/>
        <w:jc w:val="both"/>
      </w:pPr>
      <w:r>
        <w:t xml:space="preserve">5.1. Бухгалтерия проводит сверку начислений, поступлений и информационных записей с периодичностью [период] и дополнительно при получении сообщения об ошибке.</w:t>
      </w:r>
    </w:p>
    <w:p>
      <w:pPr>
        <w:spacing w:after="120" w:line="276"/>
        <w:ind w:firstLine="709"/>
        <w:jc w:val="both"/>
      </w:pPr>
      <w:r>
        <w:t xml:space="preserve">5.2. Для каждого расхождения устанавливаются причина, фактическое состояние обязательства и необходимое действие. Техническое несопоставление платежа не признаётся автоматически отсутствием оплаты.</w:t>
      </w:r>
    </w:p>
    <w:p>
      <w:pPr>
        <w:spacing w:after="120" w:line="276"/>
        <w:ind w:firstLine="709"/>
        <w:jc w:val="both"/>
      </w:pPr>
      <w:r>
        <w:t xml:space="preserve">5.3. Повторное начисление допускается только при установленном правовом и расчётном основании. Создание дубля для устранения ошибки идентификатора без проверки не допускается.</w:t>
      </w:r>
    </w:p>
    <w:p>
      <w:pPr>
        <w:spacing w:after="120" w:line="276"/>
        <w:ind w:firstLine="709"/>
        <w:jc w:val="both"/>
      </w:pPr>
      <w:r>
        <w:t xml:space="preserve">5.4. Корректировка суммы, периода или основания производится по документу [перечень допустимых оснований] после проверки уполномоченным сотрудником. История первоначальной записи и изменений сохраняется.</w:t>
      </w:r>
    </w:p>
    <w:p>
      <w:pPr>
        <w:spacing w:after="120" w:line="276"/>
        <w:ind w:firstLine="709"/>
        <w:jc w:val="both"/>
      </w:pPr>
      <w:r>
        <w:t xml:space="preserve">5.5. Возврат денежных средств оформляется по самостоятельному основанию с проверкой получателя, реквизитов, суммы и полномочий лица, принимающего решение.</w:t>
      </w:r>
    </w:p>
    <w:p>
      <w:pPr>
        <w:spacing w:after="120" w:line="276"/>
        <w:ind w:firstLine="709"/>
        <w:jc w:val="both"/>
      </w:pPr>
      <w:r>
        <w:t xml:space="preserve">5.6. При споре с плательщиком юридическая служба получает договор, первичные документы, сведения об оплате и историю обмена. Техническая запись не используется как единственное доказательство существования долга.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Переходные положения</w:t>
      </w:r>
    </w:p>
    <w:p>
      <w:pPr>
        <w:spacing w:after="120" w:line="276"/>
        <w:ind w:firstLine="709"/>
        <w:jc w:val="both"/>
      </w:pPr>
      <w:r>
        <w:t xml:space="preserve">6.1. При применении постановления учитывается его вступление в силу с 1 ноября 2026 года. Организационные даты настоящего приказа не изменяют дату действия внешней нормы.</w:t>
      </w:r>
    </w:p>
    <w:p>
      <w:pPr>
        <w:spacing w:after="120" w:line="276"/>
        <w:ind w:firstLine="709"/>
        <w:jc w:val="both"/>
      </w:pPr>
      <w:r>
        <w:t xml:space="preserve">6.2. Специальный порядок до 1 декабря 2027 года по пунктам 5-8 перечня анализируется с учётом предусмотренного постановлением круга банков, организаций федеральной почтовой связи, Казначейства и иных лиц, через которых производится уплата.</w:t>
      </w:r>
    </w:p>
    <w:p>
      <w:pPr>
        <w:spacing w:after="120" w:line="276"/>
        <w:ind w:firstLine="709"/>
        <w:jc w:val="both"/>
      </w:pPr>
      <w:r>
        <w:t xml:space="preserve">6.3. Распространение указанного переходного срока на все платежи Учреждения без проверки не допускается. По каждой спорной категории юридическая служба фиксирует роль Учреждения, применимую норму и вывод.</w:t>
      </w:r>
    </w:p>
    <w:p>
      <w:pPr>
        <w:spacing w:after="120" w:line="276"/>
        <w:ind w:firstLine="709"/>
        <w:jc w:val="both"/>
      </w:pPr>
      <w:r>
        <w:t xml:space="preserve">6.4. В переписке с участниками информационного взаимодействия указываются конкретный вид платежа и пункт перечня. Ответ общего характера подлежит уточнению, если не позволяет установить применимый порядок.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Защита сведений и контроль</w:t>
      </w:r>
    </w:p>
    <w:p>
      <w:pPr>
        <w:spacing w:after="120" w:line="276"/>
        <w:ind w:firstLine="709"/>
        <w:jc w:val="both"/>
      </w:pPr>
      <w:r>
        <w:t xml:space="preserve">7.1. Обработка персональных данных осуществляется в необходимом для установленной цели объёме по применимому основанию. Доступ предоставляется в соответствии с функциями сотрудника и фиксируется в перечне полномочий.</w:t>
      </w:r>
    </w:p>
    <w:p>
      <w:pPr>
        <w:spacing w:after="120" w:line="276"/>
        <w:ind w:firstLine="709"/>
        <w:jc w:val="both"/>
      </w:pPr>
      <w:r>
        <w:t xml:space="preserve">7.2. Ответственный за безопасность [данные] проверяет хранение, передачу, разграничение доступа и действия при инциденте. Рассылка полного реестра неуполномоченным лицам не допускается.</w:t>
      </w:r>
    </w:p>
    <w:p>
      <w:pPr>
        <w:spacing w:after="120" w:line="276"/>
        <w:ind w:firstLine="709"/>
        <w:jc w:val="both"/>
      </w:pPr>
      <w:r>
        <w:t xml:space="preserve">7.3. Координатор до [дата] представляет отчёт о готовности: состав реестров, назначение ответственных, проверка обмена, нерешённые вопросы и план устранения.</w:t>
      </w:r>
    </w:p>
    <w:p>
      <w:pPr>
        <w:spacing w:after="120" w:line="276"/>
        <w:ind w:firstLine="709"/>
        <w:jc w:val="both"/>
      </w:pPr>
      <w:r>
        <w:t xml:space="preserve">7.4. Изменения в уставе, перечне услуг, договорах, нормативном регулировании и техническом маршруте являются основанием для пересмотра приложений.</w:t>
      </w:r>
    </w:p>
    <w:p>
      <w:pPr>
        <w:spacing w:after="120" w:line="276"/>
        <w:ind w:firstLine="709"/>
        <w:jc w:val="both"/>
      </w:pPr>
      <w:r>
        <w:t xml:space="preserve">7.5. Контроль исполнения возложить на [должность, ФИО]. Ознакомить работников, указанных в приказе, в установленном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Перечень основных работ и услуг по пункту 4 с уставными основаниями и проверкой исключений.</w:t>
      </w:r>
    </w:p>
    <w:p>
      <w:pPr>
        <w:spacing w:after="120" w:line="276"/>
        <w:ind w:left="360" w:hanging="360"/>
        <w:jc w:val="both"/>
      </w:pPr>
      <w:r>
        <w:t xml:space="preserve">2. Реестр иных применимых платежей с правовой квалификацией.</w:t>
      </w:r>
    </w:p>
    <w:p>
      <w:pPr>
        <w:spacing w:after="120" w:line="276"/>
        <w:ind w:left="360" w:hanging="360"/>
        <w:jc w:val="both"/>
      </w:pPr>
      <w:r>
        <w:t xml:space="preserve">3. Матрица ответственных, замещения, доступа и контрольных сроков.</w:t>
      </w:r>
    </w:p>
    <w:p>
      <w:pPr>
        <w:spacing w:after="120" w:line="276"/>
        <w:ind w:left="360" w:hanging="360"/>
        <w:jc w:val="both"/>
      </w:pPr>
      <w:r>
        <w:t xml:space="preserve">4. Журнал расхождений и корректировок.</w:t>
      </w:r>
    </w:p>
    <w:p>
      <w:pPr>
        <w:spacing w:after="120" w:line="276"/>
        <w:ind w:left="360" w:hanging="360"/>
        <w:jc w:val="both"/>
      </w:pPr>
      <w:r>
        <w:t xml:space="preserve">5. Документы информационного взаимодействия и подтверждение проверки готовности.</w:t>
      </w:r>
    </w:p>
    <w:p>
      <w:pPr>
        <w:spacing w:after="120" w:line="276"/>
        <w:ind w:firstLine="709"/>
        <w:jc w:val="both"/>
      </w:pPr>
      <w:r>
        <w:t xml:space="preserve">Руководитель __________ / [ФИО] /</w:t>
      </w:r>
    </w:p>
    <w:p>
      <w:pPr>
        <w:spacing w:after="120" w:line="276"/>
        <w:ind w:firstLine="709"/>
        <w:jc w:val="both"/>
      </w:pPr>
      <w:r>
        <w:t xml:space="preserve">С приказом ознакомлены: [должность, ФИО, подпись, дата].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2026-11-06T17:20:00.045Z</dcterms:created>
  <dcterms:modified xsi:type="dcterms:W3CDTF">2026-11-06T17:20:00.045Z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