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УТВЕРЖДЁН</w:t>
      </w:r>
    </w:p>
    <w:p>
      <w:pPr>
        <w:spacing w:after="0"/>
        <w:jc w:val="right"/>
      </w:pPr>
      <w:r>
        <w:t xml:space="preserve">[Уполномоченный орган или должностное лицо банка]</w:t>
      </w:r>
    </w:p>
    <w:p>
      <w:pPr>
        <w:spacing w:after="0"/>
        <w:jc w:val="right"/>
      </w:pPr>
      <w:r>
        <w:t xml:space="preserve">[Решение / приказ от даты № номер]</w:t>
      </w:r>
    </w:p>
    <w:p>
      <w:pPr>
        <w:spacing w:after="0"/>
        <w:jc w:val="right"/>
      </w:pPr>
      <w:r>
        <w:t xml:space="preserve">[Полное наименование банка]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РЕГЛАМЕНТ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проверки и исполнения требований о перечислении выморочных банковских активов по Указу № 801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Назначение и пределы применения</w:t>
      </w:r>
    </w:p>
    <w:p>
      <w:pPr>
        <w:spacing w:after="120" w:line="276"/>
        <w:ind w:firstLine="709"/>
        <w:jc w:val="both"/>
      </w:pPr>
      <w:r>
        <w:t xml:space="preserve">1.1. Настоящий регламент устанавливает внутренний порядок исполнения требований Федерального агентства по управлению государственным имуществом и его территориальных органов, направленных в соответствии с Указом Президента РФ от 02.11.2026 № 801. Регламент не является самостоятельным основанием распоряжения средствами клиента.</w:t>
      </w:r>
    </w:p>
    <w:p>
      <w:pPr>
        <w:spacing w:after="120" w:line="276"/>
        <w:ind w:firstLine="709"/>
        <w:jc w:val="both"/>
      </w:pPr>
      <w:r>
        <w:t xml:space="preserve">1.2. Процедура применяется к денежным средствам в рублях, иностранной валюте и драгоценным металлам на счетах и вкладах граждан РФ при соблюдении условий Указа: более пяти лет с даты смерти, снятие с налогового учёта в связи со смертью, выморочность имущества и отсутствие открытого после смерти наследственного дела. Сведения об исполнительных документах учитываются в предусмотренном Указом межведомственном порядке.</w:t>
      </w:r>
    </w:p>
    <w:p>
      <w:pPr>
        <w:spacing w:after="120" w:line="276"/>
        <w:ind w:firstLine="709"/>
        <w:jc w:val="both"/>
      </w:pPr>
      <w:r>
        <w:t xml:space="preserve">1.3. Длительное отсутствие операций по счёту, отсутствие обращений родственников и внутренний статус неактивного клиента сами по себе не заменяют основания специальной процедуры. Работники банка не вправе самостоятельно формировать перечень граждан вместо уполномоченного органа.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Ответственные подразделения</w:t>
      </w:r>
    </w:p>
    <w:p>
      <w:pPr>
        <w:spacing w:after="120" w:line="276"/>
        <w:ind w:firstLine="709"/>
        <w:jc w:val="both"/>
      </w:pPr>
      <w:r>
        <w:t xml:space="preserve">2.1. Регистрация требования возлагается на [подразделение, должность]. Идентификация клиента и поиск счетов осуществляются [подразделение]. Правовая проверка производится [юридическая служба]. Расчёт и перечисление выполняются [операционное подразделение]. Контроль сроков и полноты сообщения осуществляет [независимый ответственный].</w:t>
      </w:r>
    </w:p>
    <w:p>
      <w:pPr>
        <w:spacing w:after="120" w:line="276"/>
        <w:ind w:firstLine="709"/>
        <w:jc w:val="both"/>
      </w:pPr>
      <w:r>
        <w:t xml:space="preserve">2.2. Персональные исполнители и их заместители назначаются [способ]. Отсутствие основного исполнителя не изменяет срок исполнения требования. Передача между подразделениями фиксируется в [система] с датой, временем и перечнем переданных материалов.</w:t>
      </w:r>
    </w:p>
    <w:p>
      <w:pPr>
        <w:spacing w:after="120" w:line="276"/>
        <w:ind w:firstLine="709"/>
        <w:jc w:val="both"/>
      </w:pPr>
      <w:r>
        <w:t xml:space="preserve">2.3. Внутренние сроки этапов устанавливаются: регистрация [срок]; проверка основания [срок]; расчёт и согласование [срок]; подготовка сообщения [срок]. Они определяются так, чтобы обеспечить перечисление не позднее 15 рабочих дней после получения требования и сообщение не позднее трёх рабочих дней после перечисления.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Приём и проверка комплекта</w:t>
      </w:r>
    </w:p>
    <w:p>
      <w:pPr>
        <w:spacing w:after="120" w:line="276"/>
        <w:ind w:firstLine="709"/>
        <w:jc w:val="both"/>
      </w:pPr>
      <w:r>
        <w:t xml:space="preserve">3.1. При поступлении фиксируются дата получения, отправитель, номер требования, способ передачи, перечень приложений и доступность их содержания. Исходные электронные файлы либо бумажные документы сохраняются в установленном порядке.</w:t>
      </w:r>
    </w:p>
    <w:p>
      <w:pPr>
        <w:spacing w:after="120" w:line="276"/>
        <w:ind w:firstLine="709"/>
        <w:jc w:val="both"/>
      </w:pPr>
      <w:r>
        <w:t xml:space="preserve">3.2. Юридическая служба проверяет соответствие требования предусмотренной Указом процедуре, наличие удостоверенной выписки из перечня, полномочия подписанта и сведения, позволяющие идентифицировать гражданина. Отсутствие свидетельства о праве на наследство не признаётся недостатком комплекта, если применяется специальный порядок пункта 3 Указа.</w:t>
      </w:r>
    </w:p>
    <w:p>
      <w:pPr>
        <w:spacing w:after="120" w:line="276"/>
        <w:ind w:firstLine="709"/>
        <w:jc w:val="both"/>
      </w:pPr>
      <w:r>
        <w:t xml:space="preserve">3.3. Анкетные сведения сопоставляются с данными банка: ФИО, дата рождения и смерти, ИНН, иные имеющиеся идентификаторы. Результат отражается в карточке исполнения. При несовпадении существенных данных операция не согласовывается на основании предположения о тождестве лиц; вопрос незамедлительно передаётся юридической службе.</w:t>
      </w:r>
    </w:p>
    <w:p>
      <w:pPr>
        <w:spacing w:after="120" w:line="276"/>
        <w:ind w:firstLine="709"/>
        <w:jc w:val="both"/>
      </w:pPr>
      <w:r>
        <w:t xml:space="preserve">3.4. При выявлении недостатка юридическая служба определяет его значение, способ уточнения и допустимые действия банка. Запрос дополнительных сведений сам по себе не считается автоматическим приостановлением срока. Основание и принятое решение фиксируются с указанием ответственного лица.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Определение состава активов</w:t>
      </w:r>
    </w:p>
    <w:p>
      <w:pPr>
        <w:spacing w:after="120" w:line="276"/>
        <w:ind w:firstLine="709"/>
        <w:jc w:val="both"/>
      </w:pPr>
      <w:r>
        <w:t xml:space="preserve">4.1. После идентификации проверяются указанные в требовании счета и вклады, их состояние, остатки, обязательства по процентам и сведения об ограничениях. Выгрузка должна отражать данные на дату проверки; перед перечислением сведения актуализируются.</w:t>
      </w:r>
    </w:p>
    <w:p>
      <w:pPr>
        <w:spacing w:after="120" w:line="276"/>
        <w:ind w:firstLine="709"/>
        <w:jc w:val="both"/>
      </w:pPr>
      <w:r>
        <w:t xml:space="preserve">4.2. Проводится поиск иных счетов и вкладов того же гражданина во всех относящихся к нему учётных системах банка. По каждому дополнительно обнаруженному счёту формируется запись с реквизитами, видом актива, остатком и основанием включения в операцию по подпункту «в» пункта 12 Указа.</w:t>
      </w:r>
    </w:p>
    <w:p>
      <w:pPr>
        <w:spacing w:after="120" w:line="276"/>
        <w:ind w:firstLine="709"/>
        <w:jc w:val="both"/>
      </w:pPr>
      <w:r>
        <w:t xml:space="preserve">4.3. Запрещается включать активы иного владельца из-за совпадения части анкетных данных. При совместном или специальном режиме счёта правовое основание распоряжения конкретными средствами дополнительно оценивает юридическая служба по применимым условиям и нормам.</w:t>
      </w:r>
    </w:p>
    <w:p>
      <w:pPr>
        <w:spacing w:after="120" w:line="276"/>
        <w:ind w:firstLine="709"/>
        <w:jc w:val="both"/>
      </w:pPr>
      <w:r>
        <w:t xml:space="preserve">4.4. При отсутствии средств фиксируются дата проверки и подтверждающая выписка. При наличии установленного законодательством запрета указываются вид ограничения, документ, дата, орган и применимость к предполагаемому перечислению. Информация отражается в сообщении Росимуществу в соответствии с пунктом 13 Указа.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Расчёт суммы</w:t>
      </w:r>
    </w:p>
    <w:p>
      <w:pPr>
        <w:spacing w:after="120" w:line="276"/>
        <w:ind w:firstLine="709"/>
        <w:jc w:val="both"/>
      </w:pPr>
      <w:r>
        <w:t xml:space="preserve">5.1. По рублёвым средствам определяется подлежащая перечислению сумма с учётом состояния счёта или вклада и подлежащих выплате процентов. Исходные данные и арифметика оформляются отдельным расчётом.</w:t>
      </w:r>
    </w:p>
    <w:p>
      <w:pPr>
        <w:spacing w:after="120" w:line="276"/>
        <w:ind w:firstLine="709"/>
        <w:jc w:val="both"/>
      </w:pPr>
      <w:r>
        <w:t xml:space="preserve">5.2. Иностранная валюта конвертируется по курсу банка на день перечисления. В расчёте указываются валюта, сумма, курс, дата его действия, источник и итог в рублях. Применение официального курса Банка России вместо предусмотренного Указом курса банка без самостоятельного основания не допускается.</w:t>
      </w:r>
    </w:p>
    <w:p>
      <w:pPr>
        <w:spacing w:after="120" w:line="276"/>
        <w:ind w:firstLine="709"/>
        <w:jc w:val="both"/>
      </w:pPr>
      <w:r>
        <w:t xml:space="preserve">5.3. Эквивалент драгоценных металлов определяется по условиям соответствующего договора. При отсутствии условий применяется учётная цена Банка России на день перечисления. Сохраняются договор, сведения о количестве металла, применённая цена и расчёт.</w:t>
      </w:r>
    </w:p>
    <w:p>
      <w:pPr>
        <w:spacing w:after="120" w:line="276"/>
        <w:ind w:firstLine="709"/>
        <w:jc w:val="both"/>
      </w:pPr>
      <w:r>
        <w:t xml:space="preserve">5.4. Расчёт проверяется вторым уполномоченным сотрудником [должность]. При изменении исходных данных он обновляется с указанием причины; предыдущая версия сохраняется. Согласование относится к конкретной версии и сумме.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Перечисление и сообщение</w:t>
      </w:r>
    </w:p>
    <w:p>
      <w:pPr>
        <w:spacing w:after="120" w:line="276"/>
        <w:ind w:firstLine="709"/>
        <w:jc w:val="both"/>
      </w:pPr>
      <w:r>
        <w:t xml:space="preserve">6.1. До исполнения проверяются реквизиты единого казначейского счёта и соответствие платёжных данных требованию. Способ проверки реквизитов [установленный канал]. Изменение реквизитов по неидентифицированному письму не допускается.</w:t>
      </w:r>
    </w:p>
    <w:p>
      <w:pPr>
        <w:spacing w:after="120" w:line="276"/>
        <w:ind w:firstLine="709"/>
        <w:jc w:val="both"/>
      </w:pPr>
      <w:r>
        <w:t xml:space="preserve">6.2. Перечисление проводится не позднее 15 рабочих дней со дня получения требования. Подтверждение операции включается в карточку исполнения с датой, суммой и реквизитами.</w:t>
      </w:r>
    </w:p>
    <w:p>
      <w:pPr>
        <w:spacing w:after="120" w:line="276"/>
        <w:ind w:firstLine="709"/>
        <w:jc w:val="both"/>
      </w:pPr>
      <w:r>
        <w:t xml:space="preserve">6.3. Не позднее трёх рабочих дней после перечисления в Росимущество или его территориальный орган представляется требование с информацией о перечисленной сумме в отношении каждого гражданина и каждого счёта или вклада. Дополнительные счета отражаются отдельно с необходимыми реквизитами.</w:t>
      </w:r>
    </w:p>
    <w:p>
      <w:pPr>
        <w:spacing w:after="120" w:line="276"/>
        <w:ind w:firstLine="709"/>
        <w:jc w:val="both"/>
      </w:pPr>
      <w:r>
        <w:t xml:space="preserve">6.4. Сотрудник контроля сопоставляет сообщение с фактически проведёнными операциями и фиксирует дату отправки, содержание и подтверждение доставки. Передача сообщения на внутреннее согласование не считается его направлением адресату.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Обращения заинтересованных лиц и исправления</w:t>
      </w:r>
    </w:p>
    <w:p>
      <w:pPr>
        <w:spacing w:after="120" w:line="276"/>
        <w:ind w:firstLine="709"/>
        <w:jc w:val="both"/>
      </w:pPr>
      <w:r>
        <w:t xml:space="preserve">7.1. Обращения наследников, нотариусов и представителей регистрируются отдельно и незамедлительно передаются юридической службе. Проверяются полномочия заявителя, содержание доводов и представленные подтверждения.</w:t>
      </w:r>
    </w:p>
    <w:p>
      <w:pPr>
        <w:spacing w:after="120" w:line="276"/>
        <w:ind w:firstLine="709"/>
        <w:jc w:val="both"/>
      </w:pPr>
      <w:r>
        <w:t xml:space="preserve">7.2. Сообщение об открытом наследственном деле, ошибке личности либо судебном запрете требует проверки применимости специальной процедуры. Результат и взаимодействие с уполномоченным органом документируются. Само указание заявителя на родство не предоставляет ему права распоряжаться средствами.</w:t>
      </w:r>
    </w:p>
    <w:p>
      <w:pPr>
        <w:spacing w:after="120" w:line="276"/>
        <w:ind w:firstLine="709"/>
        <w:jc w:val="both"/>
      </w:pPr>
      <w:r>
        <w:t xml:space="preserve">7.3. Раскрытие информации осуществляется только при наличии законного основания и в допустимом объёме. Пункт 15 Указа о межведомственном обмене не означает свободного предоставления сведений любому обратившемуся лицу.</w:t>
      </w:r>
    </w:p>
    <w:p>
      <w:pPr>
        <w:spacing w:after="120" w:line="276"/>
        <w:ind w:firstLine="709"/>
        <w:jc w:val="both"/>
      </w:pPr>
      <w:r>
        <w:t xml:space="preserve">7.4. При выявлении ошибки после перечисления формируется служебная записка с обстоятельствами, документами и предлагаемым способом исправления. Обратные операции выполняются только при надлежащем основании и согласовании уполномоченными лицами.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Хранение и итоговый контроль</w:t>
      </w:r>
    </w:p>
    <w:p>
      <w:pPr>
        <w:spacing w:after="120" w:line="276"/>
        <w:ind w:firstLine="709"/>
        <w:jc w:val="both"/>
      </w:pPr>
      <w:r>
        <w:t xml:space="preserve">8.1. В дело исполнения включаются требование, выписка из перечня, идентификационная проверка, результаты поиска счетов, расчёты, сведения о запретах, согласования, платёжные документы, сообщения и подтверждения отправки.</w:t>
      </w:r>
    </w:p>
    <w:p>
      <w:pPr>
        <w:spacing w:after="120" w:line="276"/>
        <w:ind w:firstLine="709"/>
        <w:jc w:val="both"/>
      </w:pPr>
      <w:r>
        <w:t xml:space="preserve">8.2. Место хранения [система], доступ [перечень ролей], срок хранения [по применимым требованиям и номенклатуре]. Уничтожение исходных материалов при замене расчёта или исправлении сообщения не допускается.</w:t>
      </w:r>
    </w:p>
    <w:p>
      <w:pPr>
        <w:spacing w:after="120" w:line="276"/>
        <w:ind w:firstLine="709"/>
        <w:jc w:val="both"/>
      </w:pPr>
      <w:r>
        <w:t xml:space="preserve">8.3. Контрольная карточка содержит: номер требования; дату получения; данные клиента; перечень счетов; крайний срок перечисления; фактическую дату; сумму; крайний срок сообщения; дату отправки; остаточные вопросы; ФИО проверившего сотрудника.</w:t>
      </w:r>
    </w:p>
    <w:p>
      <w:pPr>
        <w:spacing w:after="120" w:line="276"/>
        <w:ind w:firstLine="709"/>
        <w:jc w:val="both"/>
      </w:pPr>
      <w:r>
        <w:t xml:space="preserve">8.4. Ответственный за контроль [должность] проверяет незавершённые требования с периодичностью [значение] и сообщает руководителю о риске нарушения срока. Регламент пересматривается при изменении нормативных оснований или выявлении недостатка процедуры.</w:t>
      </w:r>
    </w:p>
    <w:p>
      <w:pPr>
        <w:spacing w:after="120" w:line="276"/>
        <w:ind w:firstLine="709"/>
        <w:jc w:val="both"/>
      </w:pPr>
      <w:r>
        <w:t xml:space="preserve">Ответственный за актуализацию [ФИО, должность]. Дата введения [дата]. Работники знакомятся с регламентом под подпись либо предусмотренным внутренними документами подтверждаемым способом.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2026-11-06T17:20:01.125Z</dcterms:created>
  <dcterms:modified xsi:type="dcterms:W3CDTF">2026-11-06T17:20:01.125Z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