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УТВЕРЖДЁН [наименование компетентного органа КПК]</w:t>
      </w:r>
    </w:p>
    <w:p>
      <w:pPr>
        <w:spacing w:after="0"/>
        <w:jc w:val="right"/>
      </w:pPr>
      <w:r>
        <w:t xml:space="preserve">[Вид акта] от [дата] № [номер]</w:t>
      </w:r>
    </w:p>
    <w:p>
      <w:pPr>
        <w:spacing w:after="0"/>
        <w:jc w:val="right"/>
      </w:pPr>
      <w:r>
        <w:t xml:space="preserve">Кооператив: [полное наименование, ОГРН, ИНН]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РЕГЛАМЕНТ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контроля расходования наличных денежных средств кредитного потребительского кооператива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Назначение и область применения</w:t>
      </w:r>
    </w:p>
    <w:p>
      <w:pPr>
        <w:spacing w:after="120" w:line="276"/>
        <w:ind w:firstLine="709"/>
        <w:jc w:val="both"/>
      </w:pPr>
      <w:r>
        <w:t xml:space="preserve">1.1. Настоящий регламент устанавливает внутренний порядок проверки наличных выплат [наименование КПК] за счёт поступлений, которые допускается расходовать на цели, предусмотренные абзацами 11 и 12 пункта 1 Указания Банка России от 09.12.2019 № 5348-У, без предварительного зачисления на банковский счёт.</w:t>
      </w:r>
    </w:p>
    <w:p>
      <w:pPr>
        <w:spacing w:after="120" w:line="276"/>
        <w:ind w:firstLine="709"/>
        <w:jc w:val="both"/>
      </w:pPr>
      <w:r>
        <w:t xml:space="preserve">1.2. Регламент применяется с 14 ноября 2026 года с учётом изменений, внесённых Указанием Банка России от 29.09.2026 № 7461-У. До указанной даты операции проверяются по действующей на день их совершения редакции нормативного акта. Увеличенные значения не применяются досрочно.</w:t>
      </w:r>
    </w:p>
    <w:p>
      <w:pPr>
        <w:spacing w:after="120" w:line="276"/>
        <w:ind w:firstLine="709"/>
        <w:jc w:val="both"/>
      </w:pPr>
      <w:r>
        <w:t xml:space="preserve">1.3. Регламент не устанавливает общий размер займа, лимит остатка кассы или универсальный предел выплат физическим лицам. Он регулирует проверку определённого источника наличных и разрешённых целей его расходования. Иные требования к операциям, идентификации, кассовому оформлению и деятельности КПК применяются самостоятельно.</w:t>
      </w:r>
    </w:p>
    <w:p>
      <w:pPr>
        <w:spacing w:after="120" w:line="276"/>
        <w:ind w:firstLine="709"/>
        <w:jc w:val="both"/>
      </w:pPr>
      <w:r>
        <w:t xml:space="preserve">1.4. Подразделения, на которые распространяется регламент: [перечень с идентификаторами]. Ответственные должности и замещающие работники определены приложением № 1. Самостоятельное создание дополнительного лимита на кассира, смену или рабочее место не допускается.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Ответственные лица</w:t>
      </w:r>
    </w:p>
    <w:p>
      <w:pPr>
        <w:spacing w:after="120" w:line="276"/>
        <w:ind w:firstLine="709"/>
        <w:jc w:val="both"/>
      </w:pPr>
      <w:r>
        <w:t xml:space="preserve">2.1. [Должность руководителя подразделения] обеспечивает наличие подтверждённых оснований выплаты, соблюдение договорного срока и организацию исполнения при невозможности использовать выбранный источник наличных.</w:t>
      </w:r>
    </w:p>
    <w:p>
      <w:pPr>
        <w:spacing w:after="120" w:line="276"/>
        <w:ind w:firstLine="709"/>
        <w:jc w:val="both"/>
      </w:pPr>
      <w:r>
        <w:t xml:space="preserve">2.2. [Должность работника бухгалтерии] проверяет источник денежных средств, историю расчётов, правильность отнесения операции к договору и подразделению, рассчитывает доступные остатки и подтверждает результат в учётной системе.</w:t>
      </w:r>
    </w:p>
    <w:p>
      <w:pPr>
        <w:spacing w:after="120" w:line="276"/>
        <w:ind w:firstLine="709"/>
        <w:jc w:val="both"/>
      </w:pPr>
      <w:r>
        <w:t xml:space="preserve">2.3. [Должность юриста] разрешает вопросы квалификации операции и статуса получателя, проверяет спорные договорные условия и готовит заключение при неясности применимого основания. До получения необходимого заключения кассир не меняет назначение платежа самостоятельно.</w:t>
      </w:r>
    </w:p>
    <w:p>
      <w:pPr>
        <w:spacing w:after="120" w:line="276"/>
        <w:ind w:firstLine="709"/>
        <w:jc w:val="both"/>
      </w:pPr>
      <w:r>
        <w:t xml:space="preserve">2.4. Кассир проверяет наличие разрешения на конкретную операцию, соответствие получателя и суммы документам, проводит выдачу и незамедлительно отражает её в системе. Полномочия по выдаче не включают право отменять контрольные ограничения.</w:t>
      </w:r>
    </w:p>
    <w:p>
      <w:pPr>
        <w:spacing w:after="120" w:line="276"/>
        <w:ind w:firstLine="709"/>
        <w:jc w:val="both"/>
      </w:pPr>
      <w:r>
        <w:t xml:space="preserve">2.5. [Ответственный за внутренний контроль] проверяет выборку операций, выявленные отклонения и полноту устранения ошибок. Результаты доводятся до [компетентный орган, должность] в порядке раздела 7.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Источник наличных и цели расходования</w:t>
      </w:r>
    </w:p>
    <w:p>
      <w:pPr>
        <w:spacing w:after="120" w:line="276"/>
        <w:ind w:firstLine="709"/>
        <w:jc w:val="both"/>
      </w:pPr>
      <w:r>
        <w:t xml:space="preserve">3.1. До допуска выплаты бухгалтерия устанавливает, относится ли источник к поступлениям, перечисленным в абзаце 2 пункта 1 Указания № 5348-У применительно к КПК. Основание подтверждается [учётные регистры, кассовые документы, договоры].</w:t>
      </w:r>
    </w:p>
    <w:p>
      <w:pPr>
        <w:spacing w:after="120" w:line="276"/>
        <w:ind w:firstLine="709"/>
        <w:jc w:val="both"/>
      </w:pPr>
      <w:r>
        <w:t xml:space="preserve">3.2. Проверяются отдельно поступления по договорам займа и передачи личных сбережений, возвраты основной суммы долга, процентов и санкций по займам, паевые взносы и иные допускаемые данным пунктом источники. Само наличие общей суммы в кассе не является подтверждением её допустимого расходования.</w:t>
      </w:r>
    </w:p>
    <w:p>
      <w:pPr>
        <w:spacing w:after="120" w:line="276"/>
        <w:ind w:firstLine="709"/>
        <w:jc w:val="both"/>
      </w:pPr>
      <w:r>
        <w:t xml:space="preserve">3.3. Для физических лиц контролируются предусмотренные абзацем 11 операции: выдача и возврат займов, возврат личных сбережений, плата за их использование, проценты и предусмотренные нормой санкции, выплата паенакоплений. По каждому основанию указываются конкретный договор либо соответствующее паенакопление.</w:t>
      </w:r>
    </w:p>
    <w:p>
      <w:pPr>
        <w:spacing w:after="120" w:line="276"/>
        <w:ind w:firstLine="709"/>
        <w:jc w:val="both"/>
      </w:pPr>
      <w:r>
        <w:t xml:space="preserve">3.4. Для участников наличных расчётов применяется самостоятельный перечень абзаца 12. Выплата не включается в него по аналогии. При отсутствии соответствующего основания бухгалтерия направляет вопрос юристу и руководителю для выбора допустимого порядка исполнения.</w:t>
      </w:r>
    </w:p>
    <w:p>
      <w:pPr>
        <w:spacing w:after="120" w:line="276"/>
        <w:ind w:firstLine="709"/>
        <w:jc w:val="both"/>
      </w:pPr>
      <w:r>
        <w:t xml:space="preserve">3.5. Наличные, полученные с банковского счёта, и операции за счёт иных источников оцениваются по применимым к ним правилам. Использование иного источника не отменяет самостоятельные ограничения на расчёты и не допускает фиктивного переоформления движения денег.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Размеры и порядок контроля</w:t>
      </w:r>
    </w:p>
    <w:p>
      <w:pPr>
        <w:spacing w:after="120" w:line="276"/>
        <w:ind w:firstLine="709"/>
        <w:jc w:val="both"/>
      </w:pPr>
      <w:r>
        <w:t xml:space="preserve">4.1. С 14.11.2026 предел расходования по операциям абзаца 11 физическим лицам составляет 1 000 000 рублей по соответствующему договору или паенакоплению. Применяется накопительный контроль учитываемых выплат, а не отдельный предел на каждый расходный документ.</w:t>
      </w:r>
    </w:p>
    <w:p>
      <w:pPr>
        <w:spacing w:after="120" w:line="276"/>
        <w:ind w:firstLine="709"/>
        <w:jc w:val="both"/>
      </w:pPr>
      <w:r>
        <w:t xml:space="preserve">4.2. По операциям абзаца 12 с участниками наличных расчётов сохраняется предел 100 000 рублей по соответствующему договору или паенакоплению. Дополнительно проверяются требования пункта 4 Указания № 5348-У к наличным расчётам между участниками.</w:t>
      </w:r>
    </w:p>
    <w:p>
      <w:pPr>
        <w:spacing w:after="120" w:line="276"/>
        <w:ind w:firstLine="709"/>
        <w:jc w:val="both"/>
      </w:pPr>
      <w:r>
        <w:t xml:space="preserve">4.3. Общая сумма расходования на цели абзацев 11 и 12 не превышает 4 000 000 рублей в течение одного дня в расчёте на КПК или соответствующее обособленное подразделение. Операции всех кассиров одного подразделения учитываются совместно.</w:t>
      </w:r>
    </w:p>
    <w:p>
      <w:pPr>
        <w:spacing w:after="120" w:line="276"/>
        <w:ind w:firstLine="709"/>
        <w:jc w:val="both"/>
      </w:pPr>
      <w:r>
        <w:t xml:space="preserve">4.4. До выдачи рассчитываются: ранее учтённая сумма по договору или паенакоплению; сумма предлагаемой операции; остаток соответствующего предела; общий расход за день; остаток дневного предела после операции. Отрицательный остаток является основанием не проводить выплату выбранным способом.</w:t>
      </w:r>
    </w:p>
    <w:p>
      <w:pPr>
        <w:spacing w:after="120" w:line="276"/>
        <w:ind w:firstLine="709"/>
        <w:jc w:val="both"/>
      </w:pPr>
      <w:r>
        <w:t xml:space="preserve">4.5. Дробление одной выплаты на несколько ордеров, смена кассира или повторное заведение карточки договора не изменяют применимый предел. При выявлении дубля операции приостанавливаются до сверки идентификаторов и фактических расчётов.</w:t>
      </w:r>
    </w:p>
    <w:p>
      <w:pPr>
        <w:spacing w:after="120" w:line="276"/>
        <w:ind w:firstLine="709"/>
        <w:jc w:val="both"/>
      </w:pPr>
      <w:r>
        <w:t xml:space="preserve">4.6. Изменение нормативных значений 14 ноября не обнуляет историю ранее проведённых операций. Бухгалтерия сохраняет данные действующих договоров и проверяет их корректный перенос в обновлённую систему контроля.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Карточка допуска и проведение выплаты</w:t>
      </w:r>
    </w:p>
    <w:p>
      <w:pPr>
        <w:spacing w:after="120" w:line="276"/>
        <w:ind w:firstLine="709"/>
        <w:jc w:val="both"/>
      </w:pPr>
      <w:r>
        <w:t xml:space="preserve">5.1. Перед выдачей оформляется карточка контроля с указанием получателя, его статуса, договора, основания наступления срока выплаты, источника наличных, подразделения, суммы, накопленных значений и результатов проверок.</w:t>
      </w:r>
    </w:p>
    <w:p>
      <w:pPr>
        <w:spacing w:after="120" w:line="276"/>
        <w:ind w:firstLine="709"/>
        <w:jc w:val="both"/>
      </w:pPr>
      <w:r>
        <w:t xml:space="preserve">5.2. Карточка подтверждается [должности, порядок электронной или письменной фиксации]. Она является внутренним контрольным документом и не заменяет надлежащие кассовые документы, подтверждение полномочий получателя и иные обязательные процедуры.</w:t>
      </w:r>
    </w:p>
    <w:p>
      <w:pPr>
        <w:spacing w:after="120" w:line="276"/>
        <w:ind w:firstLine="709"/>
        <w:jc w:val="both"/>
      </w:pPr>
      <w:r>
        <w:t xml:space="preserve">5.3. При изменении суммы, получателя, договора, источника или даты выплаты ранее сформированный допуск перепроверяется. Разрешение на одну операцию не применяется к другой автоматически.</w:t>
      </w:r>
    </w:p>
    <w:p>
      <w:pPr>
        <w:spacing w:after="120" w:line="276"/>
        <w:ind w:firstLine="709"/>
        <w:jc w:val="both"/>
      </w:pPr>
      <w:r>
        <w:t xml:space="preserve">5.4. При технической недоступности системы выплата допускается только после документально подтверждённой проверки полного объёма необходимых сведений по резервному порядку [описание утверждённой процедуры]. При отсутствии достоверных данных операция не проводится до восстановления проверки.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Превышение предела и исполнение обязательства</w:t>
      </w:r>
    </w:p>
    <w:p>
      <w:pPr>
        <w:spacing w:after="120" w:line="276"/>
        <w:ind w:firstLine="709"/>
        <w:jc w:val="both"/>
      </w:pPr>
      <w:r>
        <w:t xml:space="preserve">6.1. При недостаточном остатке кассир фиксирует причину, расчёт, время и передаёт информацию руководителю подразделения и бухгалтерии. В записи указывается, какой именно предел или источник препятствует операции.</w:t>
      </w:r>
    </w:p>
    <w:p>
      <w:pPr>
        <w:spacing w:after="120" w:line="276"/>
        <w:ind w:firstLine="709"/>
        <w:jc w:val="both"/>
      </w:pPr>
      <w:r>
        <w:t xml:space="preserve">6.2. Руководитель совместно с бухгалтерией и юристом организует допустимый способ исполнения обязательства в установленный договором срок. Если требуется согласование с получателем, оно оформляется надлежащим образом. Внутренний отказ системы не изменяет договор и не переносит срок выплаты односторонне.</w:t>
      </w:r>
    </w:p>
    <w:p>
      <w:pPr>
        <w:spacing w:after="120" w:line="276"/>
        <w:ind w:firstLine="709"/>
        <w:jc w:val="both"/>
      </w:pPr>
      <w:r>
        <w:t xml:space="preserve">6.3. Получателю предоставляется точная информация о дальнейшем порядке исполнения. Работникам запрещено обещать выплату способом, который не прошёл проверку, либо объяснять внутреннее ограничение как прекращение обязанности КПК.</w:t>
      </w:r>
    </w:p>
    <w:p>
      <w:pPr>
        <w:spacing w:after="120" w:line="276"/>
        <w:ind w:firstLine="709"/>
        <w:jc w:val="both"/>
      </w:pPr>
      <w:r>
        <w:t xml:space="preserve">6.4. Условия об изменении способа исполнения оформляются уполномоченными лицами. При споре сохраняются заявление получателя, расчёт, переписка и предложенные варианты, позволяющие восстановить последовательность действий кооператива.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Исправления, контроль и переход</w:t>
      </w:r>
    </w:p>
    <w:p>
      <w:pPr>
        <w:spacing w:after="120" w:line="276"/>
        <w:ind w:firstLine="709"/>
        <w:jc w:val="both"/>
      </w:pPr>
      <w:r>
        <w:t xml:space="preserve">7.1. Исправление записи производится бухгалтерией с сохранением первоначальных данных, причины, времени и автора изменения. Фактический возврат денег, отмена непроведённого документа и устранение технического дубля учитываются раздельно.</w:t>
      </w:r>
    </w:p>
    <w:p>
      <w:pPr>
        <w:spacing w:after="120" w:line="276"/>
        <w:ind w:firstLine="709"/>
        <w:jc w:val="both"/>
      </w:pPr>
      <w:r>
        <w:t xml:space="preserve">7.2. До запуска новых значений [ответственные] сверяют реестр договоров, источники поступлений и историю операций; проводят проверку граничных сумм, повторного проведения, перехода между днями и работы нескольких кассиров. Результат оформляется внутренним актом.</w:t>
      </w:r>
    </w:p>
    <w:p>
      <w:pPr>
        <w:spacing w:after="120" w:line="276"/>
        <w:ind w:firstLine="709"/>
        <w:jc w:val="both"/>
      </w:pPr>
      <w:r>
        <w:t xml:space="preserve">7.3. Нарушения и ошибки регистрируются в журнале [наименование]. По каждому случаю определяются фактическая сумма, затронутые договоры, необходимые исправления и меры предотвращения повторения. Удаление записей для искусственного освобождения лимита запрещается.</w:t>
      </w:r>
    </w:p>
    <w:p>
      <w:pPr>
        <w:spacing w:after="120" w:line="276"/>
        <w:ind w:firstLine="709"/>
        <w:jc w:val="both"/>
      </w:pPr>
      <w:r>
        <w:t xml:space="preserve">7.4. Работники знакомятся с регламентом до начала его применения. Контроль актуальности возложен на [должность]. При изменении нормативных требований юридическая служба готовит проект поправок для компетентного органа КПК.</w:t>
      </w:r>
    </w:p>
    <w:p>
      <w:pPr>
        <w:spacing w:after="120" w:line="276"/>
        <w:ind w:firstLine="709"/>
        <w:jc w:val="both"/>
      </w:pPr>
      <w:r>
        <w:t xml:space="preserve">7.5. Приложения: № 1 - подразделения и ответственные лица; № 2 - форма карточки допуска; № 3 - резервный порядок проверки; № 4 - порядок регистрации и устранения ошибок. Места хранения и доступа: [система, ответственный, применимые сроки хранения].</w:t>
      </w:r>
    </w:p>
    <w:p>
      <w:pPr>
        <w:spacing w:after="120" w:line="276"/>
        <w:ind w:firstLine="709"/>
        <w:jc w:val="both"/>
      </w:pPr>
      <w:r>
        <w:t xml:space="preserve">[Должность уполномоченного лица] [ФИО] [Подпись]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2026-11-06T17:20:03.370Z</dcterms:created>
  <dcterms:modified xsi:type="dcterms:W3CDTF">2026-11-06T17:20:03.370Z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