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ind w:firstLine="709"/>
        <w:jc w:val="both"/>
      </w:pPr>
      <w:r>
        <w:t xml:space="preserve">[Полное наименование организации]</w:t>
      </w:r>
    </w:p>
    <w:p>
      <w:pPr>
        <w:spacing w:after="120" w:line="276"/>
        <w:ind w:firstLine="709"/>
        <w:jc w:val="both"/>
      </w:pPr>
      <w:r>
        <w:t xml:space="preserve">УТВЕРЖДЁН</w:t>
      </w:r>
    </w:p>
    <w:p>
      <w:pPr>
        <w:spacing w:after="120" w:line="276"/>
        <w:ind w:firstLine="709"/>
        <w:jc w:val="both"/>
      </w:pPr>
      <w:r>
        <w:t xml:space="preserve">приказом [должность руководителя]</w:t>
      </w:r>
    </w:p>
    <w:p>
      <w:pPr>
        <w:spacing w:after="120" w:line="276"/>
        <w:ind w:firstLine="709"/>
        <w:jc w:val="both"/>
      </w:pPr>
      <w:r>
        <w:t xml:space="preserve">от [дата] № [номер]</w:t>
      </w:r>
    </w:p>
    <w:p>
      <w:pPr>
        <w:keepNext/>
        <w:spacing w:after="240" w:before="240"/>
        <w:ind w:firstLine="0"/>
        <w:jc w:val="center"/>
      </w:pPr>
      <w:r>
        <w:rPr>
          <w:b/>
          <w:bCs/>
          <w:sz w:val="32"/>
          <w:szCs w:val="32"/>
        </w:rPr>
        <w:t xml:space="preserve">РЕГЛАМЕНТ</w:t>
      </w:r>
    </w:p>
    <w:p>
      <w:pPr>
        <w:keepNext/>
        <w:spacing w:after="160" w:before="200"/>
        <w:ind w:firstLine="0"/>
        <w:jc w:val="center"/>
      </w:pPr>
      <w:r>
        <w:rPr>
          <w:b/>
          <w:bCs/>
        </w:rPr>
        <w:t xml:space="preserve">перехода на маркировку товаров для дома и интерьера</w:t>
      </w:r>
    </w:p>
    <w:p>
      <w:pPr>
        <w:spacing w:after="120" w:line="276"/>
        <w:ind w:firstLine="709"/>
        <w:jc w:val="both"/>
      </w:pPr>
      <w:r>
        <w:rPr>
          <w:b/>
          <w:bCs/>
        </w:rPr>
        <w:t xml:space="preserve">1. Назначение и сфера действия</w:t>
      </w:r>
    </w:p>
    <w:p>
      <w:pPr>
        <w:spacing w:after="120" w:line="276"/>
        <w:ind w:firstLine="709"/>
        <w:jc w:val="both"/>
      </w:pPr>
      <w:r>
        <w:t xml:space="preserve">1.1. Регламент устанавливает внутренний порядок подготовки и выполнения операций с отдельными видами товаров для дома и интерьера, подпадающими под постановление Правительства Российской Федерации от 21.10.2026 № 1374.</w:t>
      </w:r>
    </w:p>
    <w:p>
      <w:pPr>
        <w:spacing w:after="120" w:line="276"/>
        <w:ind w:firstLine="709"/>
        <w:jc w:val="both"/>
      </w:pPr>
      <w:r>
        <w:t xml:space="preserve">1.2. Регламент применяется к подразделениям и площадкам [перечень]. Роли Организации: [производитель, импортёр, оптовый участник, розничный продавец; оставить фактические роли]. Обязательные требования применяются в соответствии с выполняемой операцией и характеристиками товара.</w:t>
      </w:r>
    </w:p>
    <w:p>
      <w:pPr>
        <w:spacing w:after="120" w:line="276"/>
        <w:ind w:firstLine="709"/>
        <w:jc w:val="both"/>
      </w:pPr>
      <w:r>
        <w:t xml:space="preserve">1.3. Регламент не расширяет предусмотренные законодательством исключения и переходные сроки. При противоречии внутреннего плана обязательным требованиям применяется соответствующее нормативное положение, а план незамедлительно корректируется.</w:t>
      </w:r>
    </w:p>
    <w:p>
      <w:pPr>
        <w:spacing w:after="120" w:line="276"/>
        <w:ind w:firstLine="709"/>
        <w:jc w:val="both"/>
      </w:pPr>
      <w:r>
        <w:t xml:space="preserve">1.4. Координатор внедрения: [должность, ФИО]. Замещающее лицо: [должность, ФИО]. Решения по спорным вопросам фиксируются письменно и приобщаются к досье товара или партии.</w:t>
      </w:r>
    </w:p>
    <w:p>
      <w:pPr>
        <w:spacing w:after="120" w:line="276"/>
        <w:ind w:firstLine="709"/>
        <w:jc w:val="both"/>
      </w:pPr>
      <w:r>
        <w:rPr>
          <w:b/>
          <w:bCs/>
        </w:rPr>
        <w:t xml:space="preserve">2. Классификация ассортимента</w:t>
      </w:r>
    </w:p>
    <w:p>
      <w:pPr>
        <w:spacing w:after="120" w:line="276"/>
        <w:ind w:firstLine="709"/>
        <w:jc w:val="both"/>
      </w:pPr>
      <w:r>
        <w:t xml:space="preserve">2.1. Подразделение [наименование] до [дата] формирует реестр товаров с указанием артикула, наименования, характеристик, кодов ТН ВЭД ЕАЭС и ОКПД 2, поставщика и подтверждающих документов.</w:t>
      </w:r>
    </w:p>
    <w:p>
      <w:pPr>
        <w:spacing w:after="120" w:line="276"/>
        <w:ind w:firstLine="709"/>
        <w:jc w:val="both"/>
      </w:pPr>
      <w:r>
        <w:t xml:space="preserve">2.2. Включение позиции в сферу маркировки проверяется по приложению к Правилам с учётом наименования и примечаний. Коммерческая категория «товары для дома» не используется как самостоятельное основание.</w:t>
      </w:r>
    </w:p>
    <w:p>
      <w:pPr>
        <w:spacing w:after="120" w:line="276"/>
        <w:ind w:firstLine="709"/>
        <w:jc w:val="both"/>
      </w:pPr>
      <w:r>
        <w:t xml:space="preserve">2.3. По каждой спорной позиции оформляется заключение [ответственное лицо] с описанием фактов и применимого положения перечня. До завершения проверки операции, требующие установленной квалификации, не согласовываются.</w:t>
      </w:r>
    </w:p>
    <w:p>
      <w:pPr>
        <w:spacing w:after="120" w:line="276"/>
        <w:ind w:firstLine="709"/>
        <w:jc w:val="both"/>
      </w:pPr>
      <w:r>
        <w:t xml:space="preserve">2.4. Новые артикулы и изменения характеристик передаются на проверку до первой соответствующей операции. Реестр содержит дату решения, автора, документы и сведения о последующем пересмотре.</w:t>
      </w:r>
    </w:p>
    <w:p>
      <w:pPr>
        <w:spacing w:after="120" w:line="276"/>
        <w:ind w:firstLine="709"/>
        <w:jc w:val="both"/>
      </w:pPr>
      <w:r>
        <w:rPr>
          <w:b/>
          <w:bCs/>
        </w:rPr>
        <w:t xml:space="preserve">3. Ответственные функции</w:t>
      </w:r>
    </w:p>
    <w:p>
      <w:pPr>
        <w:spacing w:after="120" w:line="276"/>
        <w:ind w:firstLine="709"/>
        <w:jc w:val="both"/>
      </w:pPr>
      <w:r>
        <w:t xml:space="preserve">3.1. Закупки получают от поставщиков документы о товаре, происхождении, датах производства или ввоза и состоянии маркировки. Недостающие сведения запрашиваются до подтверждения приёмки партии в соответствующем статусе.</w:t>
      </w:r>
    </w:p>
    <w:p>
      <w:pPr>
        <w:spacing w:after="120" w:line="276"/>
        <w:ind w:firstLine="709"/>
        <w:jc w:val="both"/>
      </w:pPr>
      <w:r>
        <w:t xml:space="preserve">3.2. Склад сопоставляет товар, количество, идентификаторы и документы, фиксирует расхождения и обеспечивает раздельный учёт партий, ожидающих проверки.</w:t>
      </w:r>
    </w:p>
    <w:p>
      <w:pPr>
        <w:spacing w:after="120" w:line="276"/>
        <w:ind w:firstLine="709"/>
        <w:jc w:val="both"/>
      </w:pPr>
      <w:r>
        <w:t xml:space="preserve">3.3. ИТ-подразделение обеспечивает техническую готовность, доступы, тестирование и сохранение подтверждений информационного обмена. Использование общих неидентифицируемых учётных записей для ответственных операций не допускается.</w:t>
      </w:r>
    </w:p>
    <w:p>
      <w:pPr>
        <w:spacing w:after="120" w:line="276"/>
        <w:ind w:firstLine="709"/>
        <w:jc w:val="both"/>
      </w:pPr>
      <w:r>
        <w:t xml:space="preserve">3.4. Подразделение [наименование] контролирует передачу необходимых сведений и получение результата их обработки. Юридическая служба рассматривает спорную квалификацию и договорные условия.</w:t>
      </w:r>
    </w:p>
    <w:p>
      <w:pPr>
        <w:spacing w:after="120" w:line="276"/>
        <w:ind w:firstLine="709"/>
        <w:jc w:val="both"/>
      </w:pPr>
      <w:r>
        <w:t xml:space="preserve">3.5. При привлечении подрядчика координатор проверяет договорный объём его задач и назначает сотрудника для приёмки результата. Передача технической функции не отменяет контроль Организации за исполнением её обязанностей.</w:t>
      </w:r>
    </w:p>
    <w:p>
      <w:pPr>
        <w:spacing w:after="120" w:line="276"/>
        <w:ind w:firstLine="709"/>
        <w:jc w:val="both"/>
      </w:pPr>
      <w:r>
        <w:rPr>
          <w:b/>
          <w:bCs/>
        </w:rPr>
        <w:t xml:space="preserve">4. Регистрация и готовность</w:t>
      </w:r>
    </w:p>
    <w:p>
      <w:pPr>
        <w:spacing w:after="120" w:line="276"/>
        <w:ind w:firstLine="709"/>
        <w:jc w:val="both"/>
      </w:pPr>
      <w:r>
        <w:t xml:space="preserve">4.1. Ответственный [должность] обеспечивает регистрацию начиная с 1 марта 2027 года в срок, определяемый подпунктом «а» пункта 2 постановления № 1374 применительно к деятельности Организации.</w:t>
      </w:r>
    </w:p>
    <w:p>
      <w:pPr>
        <w:spacing w:after="120" w:line="276"/>
        <w:ind w:firstLine="709"/>
        <w:jc w:val="both"/>
      </w:pPr>
      <w:r>
        <w:t xml:space="preserve">4.2. Общий срок подачи заявления составляет не позднее семи календарных дней со дня возникновения предусмотренной нормой необходимости деятельности. Специальный режим для отдалённых или труднодоступных местностей применяется только при подтверждении его условий отдельным решением юридической службы.</w:t>
      </w:r>
    </w:p>
    <w:p>
      <w:pPr>
        <w:spacing w:after="120" w:line="276"/>
        <w:ind w:firstLine="709"/>
        <w:jc w:val="both"/>
      </w:pPr>
      <w:r>
        <w:t xml:space="preserve">4.3. Готовность программно-аппаратных средств и направление заявки на тестирование обеспечиваются не позднее пятнадцати календарных дней со дня регистрации. Прохождение тестирования организуется в установленный подпунктом «г» пункта 2 срок с учётом направления предусмотренной заявки.</w:t>
      </w:r>
    </w:p>
    <w:p>
      <w:pPr>
        <w:spacing w:after="120" w:line="276"/>
        <w:ind w:firstLine="709"/>
        <w:jc w:val="both"/>
      </w:pPr>
      <w:r>
        <w:t xml:space="preserve">4.4. Результаты оформляются протоколом: площадка, версия системы, операции, дата, выявленные ошибки, ответственный, срок исправления и результат повторной проверки. Устное сообщение подрядчика не заменяет протокол.</w:t>
      </w:r>
    </w:p>
    <w:p>
      <w:pPr>
        <w:spacing w:after="120" w:line="276"/>
        <w:ind w:firstLine="709"/>
        <w:jc w:val="both"/>
      </w:pPr>
      <w:r>
        <w:rPr>
          <w:b/>
          <w:bCs/>
        </w:rPr>
        <w:t xml:space="preserve">5. Основной этап маркировки</w:t>
      </w:r>
    </w:p>
    <w:p>
      <w:pPr>
        <w:spacing w:after="120" w:line="276"/>
        <w:ind w:firstLine="709"/>
        <w:jc w:val="both"/>
      </w:pPr>
      <w:r>
        <w:t xml:space="preserve">5.1. С 1 апреля 2027 года для осуществляемого Организацией ввода в оборот обеспечиваются нанесение средств идентификации и представление предусмотренных сведений в соответствии с Правилами.</w:t>
      </w:r>
    </w:p>
    <w:p>
      <w:pPr>
        <w:spacing w:after="120" w:line="276"/>
        <w:ind w:firstLine="709"/>
        <w:jc w:val="both"/>
      </w:pPr>
      <w:r>
        <w:t xml:space="preserve">5.2. С 1 июня 2028 года обеспечивается передача сведений об обороте и выводе из оборота в предусмотренных Правилами случаях. Ранее допустимые добровольные действия осуществляются только после подтверждения технической и документальной готовности.</w:t>
      </w:r>
    </w:p>
    <w:p>
      <w:pPr>
        <w:spacing w:after="120" w:line="276"/>
        <w:ind w:firstLine="709"/>
        <w:jc w:val="both"/>
      </w:pPr>
      <w:r>
        <w:t xml:space="preserve">5.3. Перед каждой операцией ответственное подразделение проверяет применимый режим партии. Наличие кода без сверки товара и статуса не считается достаточным подтверждением готовности.</w:t>
      </w:r>
    </w:p>
    <w:p>
      <w:pPr>
        <w:spacing w:after="120" w:line="276"/>
        <w:ind w:firstLine="709"/>
        <w:jc w:val="both"/>
      </w:pPr>
      <w:r>
        <w:rPr>
          <w:b/>
          <w:bCs/>
        </w:rPr>
        <w:t xml:space="preserve">6. Переходящие импортные партии</w:t>
      </w:r>
    </w:p>
    <w:p>
      <w:pPr>
        <w:spacing w:after="120" w:line="276"/>
        <w:ind w:firstLine="709"/>
        <w:jc w:val="both"/>
      </w:pPr>
      <w:r>
        <w:t xml:space="preserve">6.1. Товары, приобретённые по 31 марта 2027 года и выпущенные таможенными органами начиная с 1 апреля 2027 года, выделяются в отдельный реестр для проверки подпункта «д» пункта 3 постановления.</w:t>
      </w:r>
    </w:p>
    <w:p>
      <w:pPr>
        <w:spacing w:after="120" w:line="276"/>
        <w:ind w:firstLine="709"/>
        <w:jc w:val="both"/>
      </w:pPr>
      <w:r>
        <w:t xml:space="preserve">6.2. Для подпадающих под указанное положение товаров обеспечиваются маркировка по 30 апреля 2027 года до предложения к реализации и передача соответствующих сведений. Допустимость выпуска немаркированных товаров по 30 апреля проверяется по пункту 6 постановления.</w:t>
      </w:r>
    </w:p>
    <w:p>
      <w:pPr>
        <w:spacing w:after="120" w:line="276"/>
        <w:ind w:firstLine="709"/>
        <w:jc w:val="both"/>
      </w:pPr>
      <w:r>
        <w:t xml:space="preserve">6.3. Реестр содержит документы приобретения, таможенную процедуру, дату выпуска, количество, место нахождения, срок маркировки и подтверждение выполненных действий. Неподтверждённая партия не переводится автоматически в статус готовой к продаже.</w:t>
      </w:r>
    </w:p>
    <w:p>
      <w:pPr>
        <w:spacing w:after="120" w:line="276"/>
        <w:ind w:firstLine="709"/>
        <w:jc w:val="both"/>
      </w:pPr>
      <w:r>
        <w:rPr>
          <w:b/>
          <w:bCs/>
        </w:rPr>
        <w:t xml:space="preserve">7. Учёт остатков</w:t>
      </w:r>
    </w:p>
    <w:p>
      <w:pPr>
        <w:spacing w:after="120" w:line="276"/>
        <w:ind w:firstLine="709"/>
        <w:jc w:val="both"/>
      </w:pPr>
      <w:r>
        <w:t xml:space="preserve">7.1. На контрольную дату 1 апреля 2027 года проводится документированная сверка нереализованных товаров, произведённых или ввезённых по 31 марта 2027 года, с установлением применимости переходных положений.</w:t>
      </w:r>
    </w:p>
    <w:p>
      <w:pPr>
        <w:spacing w:after="120" w:line="276"/>
        <w:ind w:firstLine="709"/>
        <w:jc w:val="both"/>
      </w:pPr>
      <w:r>
        <w:t xml:space="preserve">7.2. Для предусмотренных пунктом 6 товаров оборот без маркировки допускается до 1 октября 2027 года, вывод из оборота без маркировки - до 1 июня 2028 года. Допустимость конкретной операции проверяется отдельно.</w:t>
      </w:r>
    </w:p>
    <w:p>
      <w:pPr>
        <w:spacing w:after="120" w:line="276"/>
        <w:ind w:firstLine="709"/>
        <w:jc w:val="both"/>
      </w:pPr>
      <w:r>
        <w:t xml:space="preserve">7.3. Предусмотренные постановлением хранение, транспортировка и маркировка соответствующих остатков допускаются по 31 июля 2028 года. Этот срок не используется как разрешение любого оборота или вывода.</w:t>
      </w:r>
    </w:p>
    <w:p>
      <w:pPr>
        <w:spacing w:after="120" w:line="276"/>
        <w:ind w:firstLine="709"/>
        <w:jc w:val="both"/>
      </w:pPr>
      <w:r>
        <w:t xml:space="preserve">7.4. По каждой партии фиксируются подтверждающие документы, количество, статус, планируемая операция, применимая дата и ответственный. При недостаточности документов устанавливается внутренний статус «требует проверки» до мотивированного решения.</w:t>
      </w:r>
    </w:p>
    <w:p>
      <w:pPr>
        <w:spacing w:after="120" w:line="276"/>
        <w:ind w:firstLine="709"/>
        <w:jc w:val="both"/>
      </w:pPr>
      <w:r>
        <w:rPr>
          <w:b/>
          <w:bCs/>
        </w:rPr>
        <w:t xml:space="preserve">8. Расхождения, возвраты и исправления</w:t>
      </w:r>
    </w:p>
    <w:p>
      <w:pPr>
        <w:spacing w:after="120" w:line="276"/>
        <w:ind w:firstLine="709"/>
        <w:jc w:val="both"/>
      </w:pPr>
      <w:r>
        <w:t xml:space="preserve">8.1. Нечитаемый код, несоответствие товара, количества или системных данных фиксируется в журнале. Ответственный указывает затронутую операцию и уведомляет склад, закупки и координатора.</w:t>
      </w:r>
    </w:p>
    <w:p>
      <w:pPr>
        <w:spacing w:after="120" w:line="276"/>
        <w:ind w:firstLine="709"/>
        <w:jc w:val="both"/>
      </w:pPr>
      <w:r>
        <w:t xml:space="preserve">8.2. До проверки не допускается выполнение неподтверждённой операции через другую заявку или площадку. Исправление оформляется документально и сопровождается проверкой результата в применимой системе.</w:t>
      </w:r>
    </w:p>
    <w:p>
      <w:pPr>
        <w:spacing w:after="120" w:line="276"/>
        <w:ind w:firstLine="709"/>
        <w:jc w:val="both"/>
      </w:pPr>
      <w:r>
        <w:t xml:space="preserve">8.3. При возврате проверяются фактическое состояние, принадлежность к партии и системный статус. Повторная реализация согласовывается после выполнения необходимых действий, а не только по факту физического поступления товара.</w:t>
      </w:r>
    </w:p>
    <w:p>
      <w:pPr>
        <w:spacing w:after="120" w:line="276"/>
        <w:ind w:firstLine="709"/>
        <w:jc w:val="both"/>
      </w:pPr>
      <w:r>
        <w:rPr>
          <w:b/>
          <w:bCs/>
        </w:rPr>
        <w:t xml:space="preserve">9. Контроль и приложения</w:t>
      </w:r>
    </w:p>
    <w:p>
      <w:pPr>
        <w:spacing w:after="120" w:line="276"/>
        <w:ind w:firstLine="709"/>
        <w:jc w:val="both"/>
      </w:pPr>
      <w:r>
        <w:t xml:space="preserve">9.1. Координатор еженедельно в период внедрения представляет руководителю сведения о готовности, открытых вопросах и приближении контрольных дат. После внедрения периодичность контроля: [период].</w:t>
      </w:r>
    </w:p>
    <w:p>
      <w:pPr>
        <w:spacing w:after="120" w:line="276"/>
        <w:ind w:firstLine="709"/>
        <w:jc w:val="both"/>
      </w:pPr>
      <w:r>
        <w:t xml:space="preserve">9.2. Сотрудники знакомятся с регламентом в части выполняемых функций. Изменения обязательных требований и процессов служат основанием пересмотра документа.</w:t>
      </w:r>
    </w:p>
    <w:p>
      <w:pPr>
        <w:spacing w:after="120" w:line="276"/>
        <w:ind w:firstLine="709"/>
        <w:jc w:val="both"/>
      </w:pPr>
      <w:r>
        <w:t xml:space="preserve">Приложения:</w:t>
      </w:r>
    </w:p>
    <w:p>
      <w:pPr>
        <w:spacing w:after="120" w:line="276"/>
        <w:ind w:left="360" w:hanging="360"/>
        <w:jc w:val="both"/>
      </w:pPr>
      <w:r>
        <w:t xml:space="preserve">1. Реестр ассортимента и классификационных решений.</w:t>
      </w:r>
    </w:p>
    <w:p>
      <w:pPr>
        <w:spacing w:after="120" w:line="276"/>
        <w:ind w:left="360" w:hanging="360"/>
        <w:jc w:val="both"/>
      </w:pPr>
      <w:r>
        <w:t xml:space="preserve">2. План внедрения с ответственными и сроками.</w:t>
      </w:r>
    </w:p>
    <w:p>
      <w:pPr>
        <w:spacing w:after="120" w:line="276"/>
        <w:ind w:left="360" w:hanging="360"/>
        <w:jc w:val="both"/>
      </w:pPr>
      <w:r>
        <w:t xml:space="preserve">3. Реестр импортных партий и остатков.</w:t>
      </w:r>
    </w:p>
    <w:p>
      <w:pPr>
        <w:spacing w:after="120" w:line="276"/>
        <w:ind w:left="360" w:hanging="360"/>
        <w:jc w:val="both"/>
      </w:pPr>
      <w:r>
        <w:t xml:space="preserve">4. Протокол тестирования.</w:t>
      </w:r>
    </w:p>
    <w:p>
      <w:pPr>
        <w:spacing w:after="120" w:line="276"/>
        <w:ind w:left="360" w:hanging="360"/>
        <w:jc w:val="both"/>
      </w:pPr>
      <w:r>
        <w:t xml:space="preserve">5. Журнал расхождений и исправлений.</w:t>
      </w:r>
    </w:p>
    <w:p>
      <w:pPr>
        <w:spacing w:after="120" w:line="276"/>
        <w:ind w:left="360" w:hanging="360"/>
        <w:jc w:val="both"/>
      </w:pPr>
      <w:r>
        <w:t xml:space="preserve">6. Перечень площадок, пользователей и полномочий.</w:t>
      </w:r>
    </w:p>
    <w:p>
      <w:pPr>
        <w:spacing w:after="120" w:line="276"/>
        <w:ind w:firstLine="709"/>
        <w:jc w:val="both"/>
      </w:pPr>
      <w:r>
        <w:t xml:space="preserve">Координатор: [подпись, ФИО, дата]</w:t>
      </w:r>
    </w:p>
    <w:p>
      <w:pPr>
        <w:spacing w:after="120" w:line="276"/>
        <w:ind w:firstLine="709"/>
        <w:jc w:val="both"/>
      </w:pPr>
      <w:r>
        <w:t xml:space="preserve">Согласовано: юридическая служба [подпись]; закупки [подпись]; склад [подпись]; ИТ [подпись]</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80"/>
    </w:pPr>
  </w:style>
  <w:style w:type="paragraph" w:styleId="TOC3">
    <w:name w:val="toc 3"/>
    <w:basedOn w:val="Normal"/>
    <w:next w:val="Normal"/>
    <w:uiPriority w:val="39"/>
    <w:semiHidden/>
    <w:unhideWhenUsed/>
    <w:pPr>
      <w:spacing w:after="100"/>
      <w:ind w:left="560"/>
    </w:pPr>
  </w:style>
  <w:style w:type="paragraph" w:styleId="TOC4">
    <w:name w:val="toc 4"/>
    <w:basedOn w:val="Normal"/>
    <w:next w:val="Normal"/>
    <w:uiPriority w:val="39"/>
    <w:semiHidden/>
    <w:unhideWhenUsed/>
    <w:pPr>
      <w:spacing w:after="100"/>
      <w:ind w:left="840"/>
    </w:pPr>
  </w:style>
  <w:style w:type="paragraph" w:styleId="TOC5">
    <w:name w:val="toc 5"/>
    <w:basedOn w:val="Normal"/>
    <w:next w:val="Normal"/>
    <w:uiPriority w:val="39"/>
    <w:semiHidden/>
    <w:unhideWhenUsed/>
    <w:pPr>
      <w:spacing w:after="100"/>
      <w:ind w:left="1120"/>
    </w:pPr>
  </w:style>
  <w:style w:type="paragraph" w:styleId="TOC6">
    <w:name w:val="toc 6"/>
    <w:basedOn w:val="Normal"/>
    <w:next w:val="Normal"/>
    <w:uiPriority w:val="39"/>
    <w:semiHidden/>
    <w:unhideWhenUsed/>
    <w:pPr>
      <w:spacing w:after="100"/>
      <w:ind w:left="1400"/>
    </w:pPr>
  </w:style>
  <w:style w:type="paragraph" w:styleId="TOC7">
    <w:name w:val="toc 7"/>
    <w:basedOn w:val="Normal"/>
    <w:next w:val="Normal"/>
    <w:uiPriority w:val="39"/>
    <w:semiHidden/>
    <w:unhideWhenUsed/>
    <w:pPr>
      <w:spacing w:after="100"/>
      <w:ind w:left="1680"/>
    </w:pPr>
  </w:style>
  <w:style w:type="paragraph" w:styleId="TOC8">
    <w:name w:val="toc 8"/>
    <w:basedOn w:val="Normal"/>
    <w:next w:val="Normal"/>
    <w:uiPriority w:val="39"/>
    <w:semiHidden/>
    <w:unhideWhenUsed/>
    <w:pPr>
      <w:spacing w:after="100"/>
      <w:ind w:left="1960"/>
    </w:pPr>
  </w:style>
  <w:style w:type="paragraph" w:styleId="TOC9">
    <w:name w:val="toc 9"/>
    <w:basedOn w:val="Normal"/>
    <w:next w:val="Normal"/>
    <w:uiPriority w:val="39"/>
    <w:semiHidden/>
    <w:unhideWhenUsed/>
    <w:pPr>
      <w:spacing w:after="100"/>
      <w:ind w:left="224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2026-11-06T17:20:03.889Z</dcterms:created>
  <dcterms:modified xsi:type="dcterms:W3CDTF">2026-11-06T17:20:03.889Z</dcterms:modified>
</cp:coreProperties>
</file>

<file path=docProps/custom.xml><?xml version="1.0" encoding="utf-8"?>
<Properties xmlns="http://schemas.openxmlformats.org/officeDocument/2006/custom-properties" xmlns:vt="http://schemas.openxmlformats.org/officeDocument/2006/docPropsVTypes"/>
</file>