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УТВЕРЖДАЮ</w:t>
      </w:r>
    </w:p>
    <w:p>
      <w:pPr>
        <w:spacing w:after="0"/>
        <w:jc w:val="right"/>
      </w:pPr>
      <w:r>
        <w:t xml:space="preserve">[Должность руководителя]</w:t>
      </w:r>
    </w:p>
    <w:p>
      <w:pPr>
        <w:spacing w:after="0"/>
        <w:jc w:val="right"/>
      </w:pPr>
      <w:r>
        <w:t xml:space="preserve">[Наименование исполнителя, ОГРН, ИНН]</w:t>
      </w:r>
    </w:p>
    <w:p>
      <w:pPr>
        <w:spacing w:after="0"/>
        <w:jc w:val="right"/>
      </w:pPr>
      <w:r>
        <w:t xml:space="preserve">[ФИО] / [подпись]</w:t>
      </w:r>
    </w:p>
    <w:p>
      <w:pPr>
        <w:spacing w:after="0"/>
        <w:jc w:val="right"/>
      </w:pPr>
      <w:r>
        <w:t xml:space="preserve">[Дата утверждения]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РЕГЛАМЕНТ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обработки отказов потребителей от использования платёжных реквизитов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Назначение и область применения</w:t>
      </w:r>
    </w:p>
    <w:p>
      <w:pPr>
        <w:spacing w:after="120" w:line="276"/>
        <w:ind w:firstLine="709"/>
        <w:jc w:val="both"/>
      </w:pPr>
      <w:r>
        <w:t xml:space="preserve">1.1. Настоящий регламент устанавливает порядок приёма и исполнения отказов потребителей от использования ранее предоставленных реквизитов банковского счёта или данных электронного средства платежа для получения периодических платежей за услуги [название сервиса].</w:t>
      </w:r>
    </w:p>
    <w:p>
      <w:pPr>
        <w:spacing w:after="120" w:line="276"/>
        <w:ind w:firstLine="709"/>
        <w:jc w:val="both"/>
      </w:pPr>
      <w:r>
        <w:t xml:space="preserve">1.2. Регламент применяется к услугам, оказываемым [наименование исполнителя] потребителям на основании абонентских договоров через [адрес сайта, наименование приложения, информационной системы]. Перечень соответствующих тарифов и договорных условий: [перечень, редакции оферт, место хранения].</w:t>
      </w:r>
    </w:p>
    <w:p>
      <w:pPr>
        <w:spacing w:after="120" w:line="276"/>
        <w:ind w:firstLine="709"/>
        <w:jc w:val="both"/>
      </w:pPr>
      <w:r>
        <w:t xml:space="preserve">1.3. Правовое основание регламента: пункт 4.2 статьи 16.1 Закона Российской Федерации от 07.02.1992 № 2300-I «О защите прав потребителей», введённый Федеральным законом от 15.10.2025 № 376-ФЗ и действующий с 01.03.2026.</w:t>
      </w:r>
    </w:p>
    <w:p>
      <w:pPr>
        <w:spacing w:after="120" w:line="276"/>
        <w:ind w:firstLine="709"/>
        <w:jc w:val="both"/>
      </w:pPr>
      <w:r>
        <w:t xml:space="preserve">1.4. Регламент определяет внутренний порядок работы. Его положения не ограничивают права потребителя, не устанавливают дополнительных условий действительности отказа и не предоставляют исполнителю отсрочку исполнения законодательного запрета.</w:t>
      </w:r>
    </w:p>
    <w:p>
      <w:pPr>
        <w:spacing w:after="120" w:line="276"/>
        <w:ind w:firstLine="709"/>
        <w:jc w:val="both"/>
      </w:pPr>
      <w:r>
        <w:t xml:space="preserve">1.5. Отказ от использования реквизитов, отказ от продления тарифа, отказ от договора и требование возвратить деньги регистрируются с учётом содержания обращения. Наличие одного из требований не позволяет без анализа волеизъявления считать заявленными остальные.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Ответственные лица</w:t>
      </w:r>
    </w:p>
    <w:p>
      <w:pPr>
        <w:spacing w:after="120" w:line="276"/>
        <w:ind w:firstLine="709"/>
        <w:jc w:val="both"/>
      </w:pPr>
      <w:r>
        <w:t xml:space="preserve">2.1. Приём и первоначальную регистрацию обеспечивает [подразделение, должность, контакт]. На период отсутствия ответственного его функции выполняет [должность, контакт].</w:t>
      </w:r>
    </w:p>
    <w:p>
      <w:pPr>
        <w:spacing w:after="120" w:line="276"/>
        <w:ind w:firstLine="709"/>
        <w:jc w:val="both"/>
      </w:pPr>
      <w:r>
        <w:t xml:space="preserve">2.2. Остановку использования платёжных данных и взаимодействие с провайдером обеспечивает [подразделение, должность, контакт]. Ответственный имеет необходимые права доступа к [система] и полномочия направлять обязательные для обработки запросы провайдеру [наименование].</w:t>
      </w:r>
    </w:p>
    <w:p>
      <w:pPr>
        <w:spacing w:after="120" w:line="276"/>
        <w:ind w:firstLine="709"/>
        <w:jc w:val="both"/>
      </w:pPr>
      <w:r>
        <w:t xml:space="preserve">2.3. Проверку результата проводит [должность, контакт]. При совмещении функций подтверждение исполнения фиксируется отдельной записью со ссылкой на технический результат.</w:t>
      </w:r>
    </w:p>
    <w:p>
      <w:pPr>
        <w:spacing w:after="120" w:line="276"/>
        <w:ind w:firstLine="709"/>
        <w:jc w:val="both"/>
      </w:pPr>
      <w:r>
        <w:t xml:space="preserve">2.4. Правовую оценку требований о прекращении договора, возврате денежных средств и спорных операциях обеспечивает [юридическое подразделение, контакт]. Передача обращения юристу не приостанавливает исполнение отказа от использования платёжных данных.</w:t>
      </w:r>
    </w:p>
    <w:p>
      <w:pPr>
        <w:spacing w:after="120" w:line="276"/>
        <w:ind w:firstLine="709"/>
        <w:jc w:val="both"/>
      </w:pPr>
      <w:r>
        <w:t xml:space="preserve">2.5. За работоспособность автоматического канала приёма и блокировки отвечает [должность, контакт]. О сбоях незамедлительно уведомляются лица, указанные в пунктах 2.2 и 2.3.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Приём и регистрация обращения</w:t>
      </w:r>
    </w:p>
    <w:p>
      <w:pPr>
        <w:spacing w:after="120" w:line="276"/>
        <w:ind w:firstLine="709"/>
        <w:jc w:val="both"/>
      </w:pPr>
      <w:r>
        <w:t xml:space="preserve">3.1. Отказ принимается через [функция личного кабинета], [электронная форма] и [адрес электронной почты]. Поступившее по иному используемому исполнителем каналу сообщение потребителя передаётся ответственному для регистрации и проверки содержания.</w:t>
      </w:r>
    </w:p>
    <w:p>
      <w:pPr>
        <w:spacing w:after="120" w:line="276"/>
        <w:ind w:firstLine="709"/>
        <w:jc w:val="both"/>
      </w:pPr>
      <w:r>
        <w:t xml:space="preserve">3.2. В карточке обращения фиксируются уникальный номер, дата и время поступления с указанием часового пояса, канал получения, исходный текст и вложения, идентификатор договора, сведения о заявителе и платёжном инструменте в необходимом и безопасном объёме.</w:t>
      </w:r>
    </w:p>
    <w:p>
      <w:pPr>
        <w:spacing w:after="120" w:line="276"/>
        <w:ind w:firstLine="709"/>
        <w:jc w:val="both"/>
      </w:pPr>
      <w:r>
        <w:t xml:space="preserve">3.3. Связь обращения с договором устанавливается посредством [авторизация, подтверждённый контакт, иной предусмотренный безопасный способ]. Сотрудник не запрашивает защитные коды карты или иные сведения, не требующиеся для идентификации обращения.</w:t>
      </w:r>
    </w:p>
    <w:p>
      <w:pPr>
        <w:spacing w:after="120" w:line="276"/>
        <w:ind w:firstLine="709"/>
        <w:jc w:val="both"/>
      </w:pPr>
      <w:r>
        <w:t xml:space="preserve">3.4. Если из сообщения невозможно установить договор либо охваченные отказом реквизиты, сотрудник незамедлительно направляет конкретный уточняющий вопрос и передаёт задачу ответственному за платежи для оценки предотвращения спорной операции. Уточнение не используется как формальное основание игнорировать уже понятный отказ.</w:t>
      </w:r>
    </w:p>
    <w:p>
      <w:pPr>
        <w:spacing w:after="120" w:line="276"/>
        <w:ind w:firstLine="709"/>
        <w:jc w:val="both"/>
      </w:pPr>
      <w:r>
        <w:t xml:space="preserve">3.5. Исходное сообщение сохраняется без изменения. Дополнительные пояснения и исправления вносятся отдельными записями с указанием автора и времени. Удаление карточки после отправки ответа потребителю не допускается в обход действующих правил хранения документов.</w:t>
      </w:r>
    </w:p>
    <w:p>
      <w:pPr>
        <w:spacing w:after="120" w:line="276"/>
        <w:ind w:firstLine="709"/>
        <w:jc w:val="both"/>
      </w:pPr>
      <w:r>
        <w:t xml:space="preserve">3.6. Если обращение касается нескольких договоров или инструментов, сотрудник фиксирует установленный объём отказа. При неоднозначности уточняется именно спорная часть; исполнение понятной части обращения не ставится в зависимость от получения избыточных сведений.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Прекращение использования реквизитов</w:t>
      </w:r>
    </w:p>
    <w:p>
      <w:pPr>
        <w:spacing w:after="120" w:line="276"/>
        <w:ind w:firstLine="709"/>
        <w:jc w:val="both"/>
      </w:pPr>
      <w:r>
        <w:t xml:space="preserve">4.1. Зарегистрированный отказ незамедлительно передаётся в [система обработки платежей]. Автоматическое событие либо действие сотрудника должно исключить создание новых периодических платежей с использованием охваченных отказом данных.</w:t>
      </w:r>
    </w:p>
    <w:p>
      <w:pPr>
        <w:spacing w:after="120" w:line="276"/>
        <w:ind w:firstLine="709"/>
        <w:jc w:val="both"/>
      </w:pPr>
      <w:r>
        <w:t xml:space="preserve">4.2. Ответственный проверяет основной график, задания на продление, повторные попытки после неуспешной операции и иные очереди периодических списаний. Скрытие платёжного инструмента в интерфейсе само по себе не признаётся подтверждением исполнения.</w:t>
      </w:r>
    </w:p>
    <w:p>
      <w:pPr>
        <w:spacing w:after="120" w:line="276"/>
        <w:ind w:firstLine="709"/>
        <w:jc w:val="both"/>
      </w:pPr>
      <w:r>
        <w:t xml:space="preserve">4.3. Если платёжный идентификатор хранится у провайдера, направляется запрос [вид операции, интерфейс или канал] с указанием идентификатора, объёма запрета и времени принятого отказа. Сохраняются номер запроса и ответ провайдера.</w:t>
      </w:r>
    </w:p>
    <w:p>
      <w:pPr>
        <w:spacing w:after="120" w:line="276"/>
        <w:ind w:firstLine="709"/>
        <w:jc w:val="both"/>
      </w:pPr>
      <w:r>
        <w:t xml:space="preserve">4.4. До получения технического результата задача остаётся на контроле. При задержке или ошибке применяется предусмотренный в [техническая инструкция] способ предотвращения использования данных, а ответственное лицо связывается с провайдером по [аварийный контакт].</w:t>
      </w:r>
    </w:p>
    <w:p>
      <w:pPr>
        <w:spacing w:after="120" w:line="276"/>
        <w:ind w:firstLine="709"/>
        <w:jc w:val="both"/>
      </w:pPr>
      <w:r>
        <w:t xml:space="preserve">4.5. Обработка отказов организуется так, чтобы отсутствие сотрудника, окончание смены или выходной день не приводили к запрещённым периодическим списаниям. Автоматические механизмы и порядок дежурного реагирования определяются в [наименование внутреннего документа].</w:t>
      </w:r>
    </w:p>
    <w:p>
      <w:pPr>
        <w:spacing w:after="120" w:line="276"/>
        <w:ind w:firstLine="709"/>
        <w:jc w:val="both"/>
      </w:pPr>
      <w:r>
        <w:t xml:space="preserve">4.6. Возобновление использования соответствующих данных допускается только при наличии проверенного правового основания и нового надлежащего волеизъявления потребителя. Старое согласие, предшествующее отказу, не используется для автоматического восстановления списаний.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исполнения и ответ потребителю</w:t>
      </w:r>
    </w:p>
    <w:p>
      <w:pPr>
        <w:spacing w:after="120" w:line="276"/>
        <w:ind w:firstLine="709"/>
        <w:jc w:val="both"/>
      </w:pPr>
      <w:r>
        <w:t xml:space="preserve">5.1. Контролирующий сотрудник сопоставляет исходный отказ, состояние платёжного инструмента, очереди заданий и подтверждение провайдера. В карточке указываются время проверки, результат, выявленные ограничения и ссылка на подтверждающие сведения.</w:t>
      </w:r>
    </w:p>
    <w:p>
      <w:pPr>
        <w:spacing w:after="120" w:line="276"/>
        <w:ind w:firstLine="709"/>
        <w:jc w:val="both"/>
      </w:pPr>
      <w:r>
        <w:t xml:space="preserve">5.2. Потребителю направляется сообщение по [канал], которое содержит номер обращения, обозначение охваченного инструмента в безопасной форме и достоверное описание выполненных действий. Незавершённая обработка не описывается как успешно завершённая.</w:t>
      </w:r>
    </w:p>
    <w:p>
      <w:pPr>
        <w:spacing w:after="120" w:line="276"/>
        <w:ind w:firstLine="709"/>
        <w:jc w:val="both"/>
      </w:pPr>
      <w:r>
        <w:t xml:space="preserve">5.3. В ответе отдельно указываются статус договора, сохранение оплаченного доступа и порядок рассмотрения денежного требования, если соответствующие вопросы поставлены потребителем. Ответ не должен создавать впечатление, что запрет использования реквизитов автоматически означает прекращение всех договорных обязательств.</w:t>
      </w:r>
    </w:p>
    <w:p>
      <w:pPr>
        <w:spacing w:after="120" w:line="276"/>
        <w:ind w:firstLine="709"/>
        <w:jc w:val="both"/>
      </w:pPr>
      <w:r>
        <w:t xml:space="preserve">5.4. Итоговая карточка включает подтверждение доставки либо отправки сообщения, сведения об исполнителях и дату закрытия технической задачи. Нерассмотренная претензия о возврате денег продолжает учитываться как самостоятельная связанная задача.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Действия при спорном списании</w:t>
      </w:r>
    </w:p>
    <w:p>
      <w:pPr>
        <w:spacing w:after="120" w:line="276"/>
        <w:ind w:firstLine="709"/>
        <w:jc w:val="both"/>
      </w:pPr>
      <w:r>
        <w:t xml:space="preserve">6.1. При обнаружении операции после поступления отказа ответственный предотвращает последующие списания и сохраняет журналы событий до изменения настроек. Фиксируются моменты создания, передачи, авторизации и отражения операции, насколько эти сведения доступны исполнителю и провайдеру.</w:t>
      </w:r>
    </w:p>
    <w:p>
      <w:pPr>
        <w:spacing w:after="120" w:line="276"/>
        <w:ind w:firstLine="709"/>
        <w:jc w:val="both"/>
      </w:pPr>
      <w:r>
        <w:t xml:space="preserve">6.2. Юридическое подразделение проверяет содержание отказа, временную последовательность, основание платежа, период услуги и требования потребителя. Решение о возврате либо ином расчёте оформляется с указанием подтверждающих документов и применимых оснований.</w:t>
      </w:r>
    </w:p>
    <w:p>
      <w:pPr>
        <w:spacing w:after="120" w:line="276"/>
        <w:ind w:firstLine="709"/>
        <w:jc w:val="both"/>
      </w:pPr>
      <w:r>
        <w:t xml:space="preserve">6.3. Если потребитель одновременно отказался от договора услуг, соответствующее требование рассматривается отдельно с учётом статьи 32 Закона о защите прав потребителей и обстоятельств исполнения. Общая ссылка на абонентский характер договора не заменяет оценку конкретного требования.</w:t>
      </w:r>
    </w:p>
    <w:p>
      <w:pPr>
        <w:spacing w:after="120" w:line="276"/>
        <w:ind w:firstLine="709"/>
        <w:jc w:val="both"/>
      </w:pPr>
      <w:r>
        <w:t xml:space="preserve">6.4. Выявленный сбой оформляется записью об инциденте: причина, охваченные операции, принятые меры, ответственный за устранение и результат повторной проверки. Не допускается закрывать инцидент только на основании изменения текста оферты.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Хранение, обучение и контроль</w:t>
      </w:r>
    </w:p>
    <w:p>
      <w:pPr>
        <w:spacing w:after="120" w:line="276"/>
        <w:ind w:firstLine="709"/>
        <w:jc w:val="both"/>
      </w:pPr>
      <w:r>
        <w:t xml:space="preserve">7.1. Материалы обращений хранятся в [система, раздел] с доступом по служебной необходимости. Состав сохраняемых сведений и сроки хранения определяются применимыми требованиями законодательства и утверждёнными правилами исполнителя [реквизиты].</w:t>
      </w:r>
    </w:p>
    <w:p>
      <w:pPr>
        <w:spacing w:after="120" w:line="276"/>
        <w:ind w:firstLine="709"/>
        <w:jc w:val="both"/>
      </w:pPr>
      <w:r>
        <w:t xml:space="preserve">7.2. В журнал не включаются избыточные платёжные данные. Используются безопасные идентификаторы, позволяющие проверить исполнение без создания дополнительной копии полного платёжного профиля потребителя.</w:t>
      </w:r>
    </w:p>
    <w:p>
      <w:pPr>
        <w:spacing w:after="120" w:line="276"/>
        <w:ind w:firstLine="709"/>
        <w:jc w:val="both"/>
      </w:pPr>
      <w:r>
        <w:t xml:space="preserve">7.3. До введения регламента проводится проверка сценария с запланированной повторной попыткой платежа после отказа. Результаты фиксируются в [документ], недостатки устраняются ответственными лицами.</w:t>
      </w:r>
    </w:p>
    <w:p>
      <w:pPr>
        <w:spacing w:after="120" w:line="276"/>
        <w:ind w:firstLine="709"/>
        <w:jc w:val="both"/>
      </w:pPr>
      <w:r>
        <w:t xml:space="preserve">7.4. Работники знакомятся с регламентом под подпись либо установленным электронным способом. Изменения платёжной интеграции, каналов поддержки и договорных условий служат основанием для проверки актуальности процедуры.</w:t>
      </w:r>
    </w:p>
    <w:p>
      <w:pPr>
        <w:spacing w:after="120" w:line="276"/>
        <w:ind w:firstLine="709"/>
        <w:jc w:val="both"/>
      </w:pPr>
      <w:r>
        <w:t xml:space="preserve">7.5. Регламент вводится в действие с [дата]. Контроль исполнения возлагается на [должность, ФИО].</w:t>
      </w:r>
    </w:p>
    <w:p>
      <w:pPr>
        <w:spacing w:after="120" w:line="276"/>
        <w:ind w:firstLine="709"/>
        <w:jc w:val="both"/>
      </w:pPr>
      <w:r>
        <w:t xml:space="preserve">Разработал: [должность, ФИО, подпись, дата].</w:t>
      </w:r>
    </w:p>
    <w:p>
      <w:pPr>
        <w:spacing w:after="120" w:line="276"/>
        <w:ind w:firstLine="709"/>
        <w:jc w:val="both"/>
      </w:pPr>
      <w:r>
        <w:t xml:space="preserve">Согласовано юридическим подразделением: [ФИО, подпись, дата].</w:t>
      </w:r>
    </w:p>
    <w:p>
      <w:pPr>
        <w:spacing w:after="120" w:line="276"/>
        <w:ind w:firstLine="709"/>
        <w:jc w:val="both"/>
      </w:pPr>
      <w:r>
        <w:t xml:space="preserve">Согласовано ответственным за платёжную систему: [ФИО, подпись, дата].</w:t>
      </w:r>
    </w:p>
    <w:p>
      <w:pPr>
        <w:spacing w:after="120" w:line="276"/>
        <w:ind w:firstLine="709"/>
        <w:jc w:val="both"/>
      </w:pPr>
      <w:r>
        <w:t xml:space="preserve">С регламентом ознакомлены: [способ фиксации, место хранения листа ознакомления].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2026-11-06T17:20:04.455Z</dcterms:created>
  <dcterms:modified xsi:type="dcterms:W3CDTF">2026-11-06T17:20:04.455Z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