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Кому: [компетентный орган / руководитель СПК]</w:t>
      </w:r>
    </w:p>
    <w:p>
      <w:pPr>
        <w:spacing w:after="0"/>
        <w:jc w:val="right"/>
      </w:pPr>
      <w:r>
        <w:t xml:space="preserve">Кооператив: [полное наименование, ОГРН, ИНН]</w:t>
      </w:r>
    </w:p>
    <w:p>
      <w:pPr>
        <w:spacing w:after="0"/>
        <w:jc w:val="right"/>
      </w:pPr>
      <w:r>
        <w:t xml:space="preserve">Подготовил: [ФИО, должность, подразделение]</w:t>
      </w:r>
    </w:p>
    <w:p>
      <w:pPr>
        <w:spacing w:after="0"/>
        <w:jc w:val="right"/>
      </w:pPr>
      <w:r>
        <w:t xml:space="preserve">Основание: поручение от [дата] № [номер]</w:t>
      </w:r>
    </w:p>
    <w:p>
      <w:pPr>
        <w:spacing w:after="0"/>
        <w:jc w:val="right"/>
      </w:pPr>
      <w:r>
        <w:t xml:space="preserve">Проверяемый период: [даты]</w:t>
      </w:r>
    </w:p>
    <w:p>
      <w:pPr>
        <w:spacing w:after="0"/>
        <w:jc w:val="right"/>
      </w:pPr>
      <w:r>
        <w:t xml:space="preserve">Дата оценки материалов: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программе предоставления займов членам сельскохозяйственного производственного кооператива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Задача и пределы проверки</w:t>
      </w:r>
    </w:p>
    <w:p>
      <w:pPr>
        <w:spacing w:after="120" w:line="276"/>
        <w:ind w:firstLine="709"/>
        <w:jc w:val="both"/>
      </w:pPr>
      <w:r>
        <w:t xml:space="preserve">1.1. Проверена программа [наименование], в рамках которой СПК предоставляет денежные средства физическим лицам, оформленным членами или ассоциированными членами кооператива. Цель проверки - установить правовое основание модели, фактическую связь займов с деятельностью СПК и риски применения части 1 статьи 14.56 КоАП РФ.</w:t>
      </w:r>
    </w:p>
    <w:p>
      <w:pPr>
        <w:spacing w:after="120" w:line="276"/>
        <w:ind w:firstLine="709"/>
        <w:jc w:val="both"/>
      </w:pPr>
      <w:r>
        <w:t xml:space="preserve">1.2. Заключение основано на документах, перечисленных в приложении № 1, и объяснениях [лица, даты]. Оно не заменяет решение компетентного органа о программе и не является процессуальным объяснением по административному делу.</w:t>
      </w:r>
    </w:p>
    <w:p>
      <w:pPr>
        <w:spacing w:after="120" w:line="276"/>
        <w:ind w:firstLine="709"/>
        <w:jc w:val="both"/>
      </w:pPr>
      <w:r>
        <w:t xml:space="preserve">1.3. Материалы, которые не представлены: [перечень]. Запросы направлены [даты, адресаты], ответы получены [сведения]. Ограничения полноты проверки отражены отдельно; отсутствие документа не признаётся автоматически доказательством отсутствия соответствующего факта.</w:t>
      </w:r>
    </w:p>
    <w:p>
      <w:pPr>
        <w:spacing w:after="120" w:line="276"/>
        <w:ind w:firstLine="709"/>
        <w:jc w:val="both"/>
      </w:pPr>
      <w:r>
        <w:t xml:space="preserve">1.4. Выводы относятся к модели в состоянии на указанную дату. Последующие изменения подлежат самостоятельной проверке. Настоящее заключение не разрешает изменять документы о прошлых событиях вопреки их действительному содержанию.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Статус и фактическая деятельность СПК</w:t>
      </w:r>
    </w:p>
    <w:p>
      <w:pPr>
        <w:spacing w:after="120" w:line="276"/>
        <w:ind w:firstLine="709"/>
        <w:jc w:val="both"/>
      </w:pPr>
      <w:r>
        <w:t xml:space="preserve">2.1. Организация зарегистрирована как [точная организационно-правовая форма], что подтверждается [регистрационные сведения]. Применимый специальный закон: [реквизиты]. Кооператив не квалифицируется как кредитный потребительский либо сельскохозяйственный кредитный потребительский только по сходству наименования.</w:t>
      </w:r>
    </w:p>
    <w:p>
      <w:pPr>
        <w:spacing w:after="120" w:line="276"/>
        <w:ind w:firstLine="709"/>
        <w:jc w:val="both"/>
      </w:pPr>
      <w:r>
        <w:t xml:space="preserve">2.2. Устав предусматривает [направления деятельности, пункты]. Фактическая деятельность за проверяемый период подтверждается [договоры, первичные документы, сведения о производстве, работах, имуществе]. Неподтверждённые уставные направления перечислены отдельно: [перечень].</w:t>
      </w:r>
    </w:p>
    <w:p>
      <w:pPr>
        <w:spacing w:after="120" w:line="276"/>
        <w:ind w:firstLine="709"/>
        <w:jc w:val="both"/>
      </w:pPr>
      <w:r>
        <w:t xml:space="preserve">2.3. Источники средств программы: [описание с документами]. Орган, утвердивший программу, и основание его компетенции: [решение, устав]. Лица, принимающие решения по отдельным выдачам: [должности, полномочия].</w:t>
      </w:r>
    </w:p>
    <w:p>
      <w:pPr>
        <w:spacing w:after="120" w:line="276"/>
        <w:ind w:firstLine="709"/>
        <w:jc w:val="both"/>
      </w:pPr>
      <w:r>
        <w:t xml:space="preserve">2.4. Сведения о необходимых специальных статусах или иных основаниях права на соответствующую деятельность: [подтверждённые данные]. Общая запись в уставе о возможности заключать договоры займа сама по себе не рассматривается как замена установленного законом основания деятельности.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Членство получателей и хозяйственная связь</w:t>
      </w:r>
    </w:p>
    <w:p>
      <w:pPr>
        <w:spacing w:after="120" w:line="276"/>
        <w:ind w:firstLine="709"/>
        <w:jc w:val="both"/>
      </w:pPr>
      <w:r>
        <w:t xml:space="preserve">3.1. В выборку включены [количество] договоров за период [даты]. Критерий отбора: [описание]. Выборка охватывает [категории получателей, подразделения], ограничения репрезентативности: [указать].</w:t>
      </w:r>
    </w:p>
    <w:p>
      <w:pPr>
        <w:spacing w:after="120" w:line="276"/>
        <w:ind w:firstLine="709"/>
        <w:jc w:val="both"/>
      </w:pPr>
      <w:r>
        <w:t xml:space="preserve">3.2. По каждому получателю сопоставлены дата обращения за займом, дата приёма в члены, решение соответствующего органа, взнос, права участия и фактические действия в кооперативе. Результаты приведены в приложении № 2.</w:t>
      </w:r>
    </w:p>
    <w:p>
      <w:pPr>
        <w:spacing w:after="120" w:line="276"/>
        <w:ind w:firstLine="709"/>
        <w:jc w:val="both"/>
      </w:pPr>
      <w:r>
        <w:t xml:space="preserve">3.3. Участие в хозяйственной деятельности подтверждается [конкретные документы]. Случаи, в которых представлено только формальное заявление о вступлении без иных подтверждений, выделены: [договоры, фактические обстоятельства].</w:t>
      </w:r>
    </w:p>
    <w:p>
      <w:pPr>
        <w:spacing w:after="120" w:line="276"/>
        <w:ind w:firstLine="709"/>
        <w:jc w:val="both"/>
      </w:pPr>
      <w:r>
        <w:t xml:space="preserve">3.4. Проверены сведения о сельскохозяйственном производстве либо ведении личного подсобного хозяйства получателями применительно к заявленной модели. Подтверждения: [перечень]. Неполнота материалов: [описание и значение для вывода].</w:t>
      </w:r>
    </w:p>
    <w:p>
      <w:pPr>
        <w:spacing w:after="120" w:line="276"/>
        <w:ind w:firstLine="709"/>
        <w:jc w:val="both"/>
      </w:pPr>
      <w:r>
        <w:t xml:space="preserve">3.5. Совпадение даты вступления и выдачи не оценивается изолированно как достаточное доказательство нарушения. Оно рассматривается вместе с целью обращения, содержанием рекламы, фактическим участием и иными материалами.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Цели и исполнение договоров</w:t>
      </w:r>
    </w:p>
    <w:p>
      <w:pPr>
        <w:spacing w:after="120" w:line="276"/>
        <w:ind w:firstLine="709"/>
        <w:jc w:val="both"/>
      </w:pPr>
      <w:r>
        <w:t xml:space="preserve">4.1. В договорах указана цель [формулировка]. Заявки, объяснения получателей и документы исполнения содержат [подтверждённые сведения]. Выявленные противоречия между договорным текстом и фактической целью: [по каждому случаю с источником].</w:t>
      </w:r>
    </w:p>
    <w:p>
      <w:pPr>
        <w:spacing w:after="120" w:line="276"/>
        <w:ind w:firstLine="709"/>
        <w:jc w:val="both"/>
      </w:pPr>
      <w:r>
        <w:t xml:space="preserve">4.2. Проверены рекламные материалы и порядок привлечения граждан: [сайт, объявления, анкеты, инструкции сотрудникам]. Их содержание на соответствующие даты сохранено в приложении № 3. Программа фактически позиционировалась как [описание по доказательствам].</w:t>
      </w:r>
    </w:p>
    <w:p>
      <w:pPr>
        <w:spacing w:after="120" w:line="276"/>
        <w:ind w:firstLine="709"/>
        <w:jc w:val="both"/>
      </w:pPr>
      <w:r>
        <w:t xml:space="preserve">4.3. Контроль использования денег предусмотрен [пункт договора, регламент] и фактически осуществлялся [действия, документы]. Отсутствие предусмотренного контроля и его последствия описаны отдельно: [сведения].</w:t>
      </w:r>
    </w:p>
    <w:p>
      <w:pPr>
        <w:spacing w:after="120" w:line="276"/>
        <w:ind w:firstLine="709"/>
        <w:jc w:val="both"/>
      </w:pPr>
      <w:r>
        <w:t xml:space="preserve">4.4. Формулировка о развитии хозяйства не признаётся достаточным подтверждением цели при наличии противоречащих материалов. Не допускается получение от граждан заведомо недостоверных подтверждений или переоформление прошлой выдачи под иной фактический сценарий.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Правовая оценка</w:t>
      </w:r>
    </w:p>
    <w:p>
      <w:pPr>
        <w:spacing w:after="120" w:line="276"/>
        <w:ind w:firstLine="709"/>
        <w:jc w:val="both"/>
      </w:pPr>
      <w:r>
        <w:t xml:space="preserve">5.1. Пункт 5 части 1 статьи 3 Федерального закона от 21.12.2013 № 353-ФЗ предусматривает исключения из понятия профессиональной деятельности по предоставлению потребительских займов. Возможность применения исключения проверяется по реальному содержанию отношений и предусмотренным нормой условиям.</w:t>
      </w:r>
    </w:p>
    <w:p>
      <w:pPr>
        <w:spacing w:after="120" w:line="276"/>
        <w:ind w:firstLine="709"/>
        <w:jc w:val="both"/>
      </w:pPr>
      <w:r>
        <w:t xml:space="preserve">5.2. Статья 4 указанного закона и специальное регулирование определяют круг субъектов соответствующей деятельности. Часть 1 статьи 14.56 КоАП РФ предусматривает ответственность за её осуществление без необходимого права. Квалификация не может основываться исключительно на выбранном названии программы.</w:t>
      </w:r>
    </w:p>
    <w:p>
      <w:pPr>
        <w:spacing w:after="120" w:line="276"/>
        <w:ind w:firstLine="709"/>
        <w:jc w:val="both"/>
      </w:pPr>
      <w:r>
        <w:t xml:space="preserve">5.3. В постановлении ВС РФ от 14.04.2026 № 85-АД26-2-К1 оценена модель СПК, при которой не были подтверждены реальная хозяйственная деятельность и участие заёмщиков, а получатели указывали бытовые цели денег. Привлечение председателя к ответственности оставлено в силе. Позиция включена в пункт 45 Обзора № 3 (2026), утверждённого 14.10.2026.</w:t>
      </w:r>
    </w:p>
    <w:p>
      <w:pPr>
        <w:spacing w:after="120" w:line="276"/>
        <w:ind w:firstLine="709"/>
        <w:jc w:val="both"/>
      </w:pPr>
      <w:r>
        <w:t xml:space="preserve">5.4. Для проверяемой программы значение имеют следующие сопоставимые обстоятельства: [подтверждённые факты]. Отличия: [существенные обстоятельства и доказательства]. Вывод нельзя строить только на количестве договоров или наличии реестра членов.</w:t>
      </w:r>
    </w:p>
    <w:p>
      <w:pPr>
        <w:spacing w:after="120" w:line="276"/>
        <w:ind w:firstLine="709"/>
        <w:jc w:val="both"/>
      </w:pPr>
      <w:r>
        <w:t xml:space="preserve">5.5. По представленному комплекту законное основание продолжения новых выдач в модели [конкретное описание] не подтверждено в части [точные условия и пробелы]. Это вывод о недостаточности подтверждений для допуска программы, а не окончательное установление состава правонарушения конкретного лица.</w:t>
      </w:r>
    </w:p>
    <w:p>
      <w:pPr>
        <w:spacing w:after="120" w:line="276"/>
        <w:ind w:firstLine="709"/>
        <w:jc w:val="both"/>
      </w:pPr>
      <w:r>
        <w:t xml:space="preserve">5.6. Риск связан с [фактическое содержание деятельности, формальность участия, противоречие целей]. Для его переоценки необходимы [документы или изменения будущей модели]. Само изменение текста устава либо анкеты не устраняет выявленные фактические противоречия.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Предлагаемые решения по новым операциям</w:t>
      </w:r>
    </w:p>
    <w:p>
      <w:pPr>
        <w:spacing w:after="120" w:line="276"/>
        <w:ind w:firstLine="709"/>
        <w:jc w:val="both"/>
      </w:pPr>
      <w:r>
        <w:t xml:space="preserve">6.1. Рекомендуется вынести на рассмотрение [компетентный орган] вопрос о приостановлении новых выдач по проверяемой модели до завершения проверки основания деятельности. Решение оформляется самостоятельным актом с указанием объёма, даты и ответственных лиц.</w:t>
      </w:r>
    </w:p>
    <w:p>
      <w:pPr>
        <w:spacing w:after="120" w:line="276"/>
        <w:ind w:firstLine="709"/>
        <w:jc w:val="both"/>
      </w:pPr>
      <w:r>
        <w:t xml:space="preserve">6.2. До принятия решения необходимо исключить публичные обещания выдачи, правовая допустимость которых не подтверждена, и проверить текущие обращения граждан. Порядок работы с ними определяется уполномоченным органом с учётом уже принятых обязательств.</w:t>
      </w:r>
    </w:p>
    <w:p>
      <w:pPr>
        <w:spacing w:after="120" w:line="276"/>
        <w:ind w:firstLine="709"/>
        <w:jc w:val="both"/>
      </w:pPr>
      <w:r>
        <w:t xml:space="preserve">6.3. Для допустимой будущей модели следует установить перечень проверяемых условий, источники подтверждений, ответственного до выдачи и порядок рассмотрения противоречий. Положительная отметка сотрудника не может заменять отсутствующее предусмотренное законом основание.</w:t>
      </w:r>
    </w:p>
    <w:p>
      <w:pPr>
        <w:spacing w:after="120" w:line="276"/>
        <w:ind w:firstLine="709"/>
        <w:jc w:val="both"/>
      </w:pPr>
      <w:r>
        <w:t xml:space="preserve">6.4. Срок повторного рассмотрения: [дата]. Ответственные за представление материалов: [должности]. По результатам готовится отдельное заключение с определённым выводом по каждой категории операций.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Действующие договоры и сохранение материалов</w:t>
      </w:r>
    </w:p>
    <w:p>
      <w:pPr>
        <w:spacing w:after="120" w:line="276"/>
        <w:ind w:firstLine="709"/>
        <w:jc w:val="both"/>
      </w:pPr>
      <w:r>
        <w:t xml:space="preserve">7.1. Уже заключённые договоры подлежат индивидуальной проверке. Настоящее заключение не прекращает их автоматически, не признаёт недействительными и не разрешает односторонне изменять начисления без правового основания.</w:t>
      </w:r>
    </w:p>
    <w:p>
      <w:pPr>
        <w:spacing w:after="120" w:line="276"/>
        <w:ind w:firstLine="709"/>
        <w:jc w:val="both"/>
      </w:pPr>
      <w:r>
        <w:t xml:space="preserve">7.2. Бухгалтерии и юридической службе поручается подготовить сведения об исполнении, задолженности, начислениях и обращениях получателей. Возможные последствия выявленных нарушений оцениваются отдельно по применимым нормам и фактам.</w:t>
      </w:r>
    </w:p>
    <w:p>
      <w:pPr>
        <w:spacing w:after="120" w:line="276"/>
        <w:ind w:firstLine="709"/>
        <w:jc w:val="both"/>
      </w:pPr>
      <w:r>
        <w:t xml:space="preserve">7.3. Документы программы, реклама соответствующего периода, переписка, решения органов и сведения о выдачах сохраняются в [место, система]. Исправления оформляются с сохранением первоначальной записи и основания изменения.</w:t>
      </w:r>
    </w:p>
    <w:p>
      <w:pPr>
        <w:spacing w:after="120" w:line="276"/>
        <w:ind w:firstLine="709"/>
        <w:jc w:val="both"/>
      </w:pPr>
      <w:r>
        <w:t xml:space="preserve">7.4. При поступлении запроса органа или возбуждении дела назначается ответственное лицо за сроки и предоставление достоверных материалов. Позиция председателя и организации проверяется раздельно; вывод о риске одной категории не заменяет оценку ответственности другого субъекта.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Итог и приложения</w:t>
      </w:r>
    </w:p>
    <w:p>
      <w:pPr>
        <w:spacing w:after="120" w:line="276"/>
        <w:ind w:firstLine="709"/>
        <w:jc w:val="both"/>
      </w:pPr>
      <w:r>
        <w:t xml:space="preserve">8.1. На основании представленных материалов рекомендуется [точное решение по проверенной модели]. Условия, после выполнения которых возможна повторная оценка: [перечень]. Решение принимает [компетентный орган] в пределах устава и закона.</w:t>
      </w:r>
    </w:p>
    <w:p>
      <w:pPr>
        <w:spacing w:after="120" w:line="276"/>
        <w:ind w:firstLine="709"/>
        <w:jc w:val="both"/>
      </w:pPr>
      <w:r>
        <w:t xml:space="preserve">8.2. Приложения: № 1 - опись изученных и недостающих документов; № 2 - анализ договоров и членства; № 3 - материалы привлечения получателей; № 4 - перечень противоречий и запросов; № 5 - проект решения компетентного органа, если подготовлен.</w:t>
      </w:r>
    </w:p>
    <w:p>
      <w:pPr>
        <w:spacing w:after="120" w:line="276"/>
        <w:ind w:firstLine="709"/>
        <w:jc w:val="both"/>
      </w:pPr>
      <w:r>
        <w:t xml:space="preserve">8.3. Ответственный за контроль исполнения рекомендаций: [должность]. Дата представления отчёта: [дата]. Заключение доводится до [перечень уполномоченных лиц] в соответствии с внутренним порядком доступа к документам.</w:t>
      </w:r>
    </w:p>
    <w:p>
      <w:pPr>
        <w:spacing w:after="120" w:line="276"/>
        <w:ind w:firstLine="709"/>
        <w:jc w:val="both"/>
      </w:pPr>
      <w:r>
        <w:t xml:space="preserve">[Дата] [Подпись] [ФИО, должность]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2026-11-06T17:20:11.784Z</dcterms:created>
  <dcterms:modified xsi:type="dcterms:W3CDTF">2026-11-06T17:20:11.784Z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