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города Москвы</w:t>
      </w:r>
    </w:p>
    <w:p>
      <w:pPr>
        <w:spacing w:after="0"/>
        <w:jc w:val="right"/>
      </w:pPr>
      <w:r>
        <w:t xml:space="preserve">Заявитель: [полное наименование организации]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[адрес], телефон: [номер], электронная почта: [адрес]</w:t>
      </w:r>
    </w:p>
    <w:p>
      <w:pPr>
        <w:spacing w:after="0"/>
        <w:jc w:val="right"/>
      </w:pPr>
      <w:r>
        <w:t xml:space="preserve">Представитель: [ФИО, адрес для корреспонденции]</w:t>
      </w:r>
    </w:p>
    <w:p>
      <w:pPr>
        <w:spacing w:after="0"/>
        <w:jc w:val="right"/>
      </w:pPr>
      <w:r>
        <w:t xml:space="preserve">Заинтересованное лицо: Федеральная налоговая служба</w:t>
      </w:r>
    </w:p>
    <w:p>
      <w:pPr>
        <w:spacing w:after="0"/>
        <w:jc w:val="right"/>
      </w:pPr>
      <w:r>
        <w:t xml:space="preserve">Адрес: [актуальный адрес ФНС России]</w:t>
      </w:r>
    </w:p>
    <w:p>
      <w:pPr>
        <w:spacing w:after="0"/>
        <w:jc w:val="right"/>
      </w:pPr>
      <w:r>
        <w:t xml:space="preserve">Государственная пошлина: 50 000 рублей [либо основание льготы или ходатайства]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признании частично недействительным решения ФНС России о проведении проверки контролируемых сделок</w:t>
      </w:r>
    </w:p>
    <w:p>
      <w:pPr>
        <w:spacing w:after="120" w:line="276"/>
        <w:ind w:firstLine="709"/>
        <w:jc w:val="both"/>
      </w:pPr>
      <w:r>
        <w:t xml:space="preserve">Федеральной налоговой службой принято решение от [дата] № [номер] о проведении проверки полноты исчисления и уплаты налогов в связи с совершением сделок между взаимозависимыми лицами в отношении [наименование заявителя].</w:t>
      </w:r>
    </w:p>
    <w:p>
      <w:pPr>
        <w:spacing w:after="120" w:line="276"/>
        <w:ind w:firstLine="709"/>
        <w:jc w:val="both"/>
      </w:pPr>
      <w:r>
        <w:t xml:space="preserve">Решение охватывает [годы и сделки]. Заявитель оспаривает его исключительно в части проверки контролируемых сделок за [год], отражённых в уведомлении от [дата, номер], по следующим договорам: [номер, дата, контрагент и идентифицирующие сведения каждой сделки].</w:t>
      </w:r>
    </w:p>
    <w:p>
      <w:pPr>
        <w:spacing w:after="120" w:line="276"/>
        <w:ind w:firstLine="709"/>
        <w:jc w:val="both"/>
      </w:pPr>
      <w:r>
        <w:t xml:space="preserve">Оспариваемое решение в указанной части не соответствует пункту 2 статьи 5 НК РФ и пункту 2 статьи 105.17 НК РФ в редакции, применимой к возникшим отношениям, нарушает права заявителя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Уведомление представлено до изменения правил назначения проверки</w:t>
      </w:r>
    </w:p>
    <w:p>
      <w:pPr>
        <w:spacing w:after="120" w:line="276"/>
        <w:ind w:firstLine="709"/>
        <w:jc w:val="both"/>
      </w:pPr>
      <w:r>
        <w:t xml:space="preserve">Заявитель [дата] представил в [наименование налогового органа] уведомление о контролируемых сделках за [год]. Уведомление получено [дата], что подтверждается [наименование электронной квитанции, идентификатор, дата либо иной документ].</w:t>
      </w:r>
    </w:p>
    <w:p>
      <w:pPr>
        <w:spacing w:after="120" w:line="276"/>
        <w:ind w:firstLine="709"/>
        <w:jc w:val="both"/>
      </w:pPr>
      <w:r>
        <w:t xml:space="preserve">В уведомлении отражены спорные сделки: [перечень разделов, порядковых номеров и контрагентов]. Копия уведомления и документы о получении прилагаются. Соответствие сделок, указанных в уведомлении и решении о проверке, подтверждается сопоставительной таблицей.</w:t>
      </w:r>
    </w:p>
    <w:p>
      <w:pPr>
        <w:spacing w:after="120" w:line="276"/>
        <w:ind w:firstLine="709"/>
        <w:jc w:val="both"/>
      </w:pPr>
      <w:r>
        <w:t xml:space="preserve">На дату возникновения указанных отношений пункт 2 статьи 105.17 НК РФ предусматривал принятие решения о проверке не позднее двух лет со дня получения уведомления или извещения, указанных в соответствующей норме. Уведомление представлено до 26 марта 2024 года - даты вступления в силу Федерального закона от 26.02.2024 № 39-ФЗ.</w:t>
      </w:r>
    </w:p>
    <w:p>
      <w:pPr>
        <w:spacing w:after="120" w:line="276"/>
        <w:ind w:firstLine="709"/>
        <w:jc w:val="both"/>
      </w:pPr>
      <w:r>
        <w:t xml:space="preserve">Сведения о последующих изменениях уведомления и их содержании: [указать отсутствие изменений либо даты, характер изменений и обоснование их значения для спорных сделок]. Заявитель раскрывает соответствующие документы, чтобы подтвердить юридически значимый момент возникновения отношений налогового контроля.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Двухлетний срок истёк до принятия решения</w:t>
      </w:r>
    </w:p>
    <w:p>
      <w:pPr>
        <w:spacing w:after="120" w:line="276"/>
        <w:ind w:firstLine="709"/>
        <w:jc w:val="both"/>
      </w:pPr>
      <w:r>
        <w:t xml:space="preserve">Начало исчисления срока определяется получением уведомления [дата]. С учётом статьи 6.1 НК РФ и применимой редакции пункта 2 статьи 105.17 НК РФ последний день срока приходился на [дата, привести расчёт и учёт нерабочих дней].</w:t>
      </w:r>
    </w:p>
    <w:p>
      <w:pPr>
        <w:spacing w:after="120" w:line="276"/>
        <w:ind w:firstLine="709"/>
        <w:jc w:val="both"/>
      </w:pPr>
      <w:r>
        <w:t xml:space="preserve">Решение о назначении проверки принято [дата], то есть после указанного предела. Разница между последним днём срока и датой решения составляет [период]. Расчёт основан на документах о получении уведомления, а не на дате заключения договора или предполагаемом сроке представления сведений.</w:t>
      </w:r>
    </w:p>
    <w:p>
      <w:pPr>
        <w:spacing w:after="120" w:line="276"/>
        <w:ind w:firstLine="709"/>
        <w:jc w:val="both"/>
      </w:pPr>
      <w:r>
        <w:t xml:space="preserve">Предусмотренные статьёй 105.17 НК РФ специальные обстоятельства, которые могли бы иметь самостоятельное значение для назначения проверки, в отношении спорных сделок [изложить проверенный результат: уточнённые декларации соответствующего содержания, процедура соглашения о ценообразовании и иные основания, на которые ссылается ФНС].</w:t>
      </w:r>
    </w:p>
    <w:p>
      <w:pPr>
        <w:spacing w:after="120" w:line="276"/>
        <w:ind w:firstLine="709"/>
        <w:jc w:val="both"/>
      </w:pPr>
      <w:r>
        <w:t xml:space="preserve">Ссылка налогового органа на [конкретный довод из решения или переписки] не подтверждает наличие специального основания, поскольку [факт, норма и подтверждающий документ]. Следовательно, решение в оспариваемой части принято за пределами допустимого периода контроля.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Закон № 39-ФЗ не допускает ухудшающего пересмотра ранее возникших отношений</w:t>
      </w:r>
    </w:p>
    <w:p>
      <w:pPr>
        <w:spacing w:after="120" w:line="276"/>
        <w:ind w:firstLine="709"/>
        <w:jc w:val="both"/>
      </w:pPr>
      <w:r>
        <w:t xml:space="preserve">Федеральным законом от 26.02.2024 № 39-ФЗ отменено общее двухлетнее ограничение, содержавшееся в пункте 2 статьи 105.17 НК РФ. Однако это изменение не может применяться к уведомлению заявителя таким образом, чтобы увеличивать ранее установленный период нахождения под налоговым контролем.</w:t>
      </w:r>
    </w:p>
    <w:p>
      <w:pPr>
        <w:spacing w:after="120" w:line="276"/>
        <w:ind w:firstLine="709"/>
        <w:jc w:val="both"/>
      </w:pPr>
      <w:r>
        <w:t xml:space="preserve">По пункту 2 статьи 5 НК РФ акты законодательства о налогах и сборах, ухудшающие положение налогоплательщиков, обратной силы не имеют. Срок назначения проверки определяет не только порядок работы органа, но и пределы его полномочий применительно к конкретным сделкам, возможность установления налоговых последствий и обязанность налогоплательщика участвовать в контроле.</w:t>
      </w:r>
    </w:p>
    <w:p>
      <w:pPr>
        <w:spacing w:after="120" w:line="276"/>
        <w:ind w:firstLine="709"/>
        <w:jc w:val="both"/>
      </w:pPr>
      <w:r>
        <w:t xml:space="preserve">В определении от 24.09.2026 № 305-ЭС26-8266 по делу № А40-72524/2025 Верховный Суд РФ признал, что отмена прежнего двухлетнего ограничения ухудшает положение лица, представившего уведомление до вступления нового регулирования в силу. К длящимся отношениям, возникшим при прежней редакции, продолжает применяться ранее установленное ограничение.</w:t>
      </w:r>
    </w:p>
    <w:p>
      <w:pPr>
        <w:spacing w:after="120" w:line="276"/>
        <w:ind w:firstLine="709"/>
        <w:jc w:val="both"/>
      </w:pPr>
      <w:r>
        <w:t xml:space="preserve">Обстоятельства настоящего дела сопоставимы: уведомление получено [дата до 26.03.2024], проверка назначена [дата после окончания прежнего срока], её основанием являются [сделки и сведения из уведомления]. Заявитель не требует применения отменённого ограничения к новым отношениям, возникшим после вступления поправки в силу.</w:t>
      </w:r>
    </w:p>
    <w:p>
      <w:pPr>
        <w:spacing w:after="120" w:line="276"/>
        <w:ind w:firstLine="709"/>
        <w:jc w:val="both"/>
      </w:pPr>
      <w:r>
        <w:t xml:space="preserve">Довод о процедурном характере срока не учитывает его влияние на содержание прав и обязанностей налогоплательщика. Общая глубина проверки по пункту 5 статьи 105.17 НК РФ не устраняет необходимость соблюдения прежнего специального ограничения в рассматриваемых отношениях.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Решение непосредственно затрагивает права организации</w:t>
      </w:r>
    </w:p>
    <w:p>
      <w:pPr>
        <w:spacing w:after="120" w:line="276"/>
        <w:ind w:firstLine="709"/>
        <w:jc w:val="both"/>
      </w:pPr>
      <w:r>
        <w:t xml:space="preserve">Оспариваемое решение возлагает на заявителя дополнительные обязанности по участию в проверке сделок, период допустимого контроля которых истёк. В частности, [указать требования о представлении документации, перечни сведений, сроки, организационные действия].</w:t>
      </w:r>
    </w:p>
    <w:p>
      <w:pPr>
        <w:spacing w:after="120" w:line="276"/>
        <w:ind w:firstLine="709"/>
        <w:jc w:val="both"/>
      </w:pPr>
      <w:r>
        <w:t xml:space="preserve">Указанные последствия подтверждаются [решение, требования, переписка, иные документы]. Для их наступления не требуется ожидать вынесения итогового решения о доначислении налога. Само назначение проверки за пределами полномочия нарушает правовую определённость и законные интересы заявителя.</w:t>
      </w:r>
    </w:p>
    <w:p>
      <w:pPr>
        <w:spacing w:after="120" w:line="276"/>
        <w:ind w:firstLine="709"/>
        <w:jc w:val="both"/>
      </w:pPr>
      <w:r>
        <w:t xml:space="preserve">Заявитель не оспаривает абстрактную возможность налогового контроля и не просит признать отсутствие любой задолженности. Требование ограничено законностью назначения конкретной проверки в части [год и сделки]. В остальной части решение настоящим заявлением не оспаривается.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Соблюдение порядка обращения в суд</w:t>
      </w:r>
    </w:p>
    <w:p>
      <w:pPr>
        <w:spacing w:after="120" w:line="276"/>
        <w:ind w:firstLine="709"/>
        <w:jc w:val="both"/>
      </w:pPr>
      <w:r>
        <w:t xml:space="preserve">Решение получено заявителем [дата], что подтверждается [документ]. О нарушении прав заявителю стало известно [дата и обстоятельства]. Настоящее заявление подаётся [дата], в пределах трёхмесячного срока, предусмотренного частью 4 статьи 198 АПК РФ. Расчёт срока: [кратко указать начало и окончание].</w:t>
      </w:r>
    </w:p>
    <w:p>
      <w:pPr>
        <w:spacing w:after="120" w:line="276"/>
        <w:ind w:firstLine="709"/>
        <w:jc w:val="both"/>
      </w:pPr>
      <w:r>
        <w:t xml:space="preserve">Оспаривается ненормативный акт ФНС России. В силу исключения, предусмотренного пунктом 2 статьи 138 НК РФ для актов федерального органа, обязательное предварительное обжалование в вышестоящий налоговый орган не требуется.</w:t>
      </w:r>
    </w:p>
    <w:p>
      <w:pPr>
        <w:spacing w:after="120" w:line="276"/>
        <w:ind w:firstLine="709"/>
        <w:jc w:val="both"/>
      </w:pPr>
      <w:r>
        <w:t xml:space="preserve">Государственная пошлина уплачена по подпункту 7 пункта 1 статьи 333.21 НК РФ, документ прилагается. Копии заявления и отсутствующих у заинтересованного лица приложений направлены ФНС России [дата, способ], что подтверждается [документ].</w:t>
      </w:r>
    </w:p>
    <w:p>
      <w:pPr>
        <w:spacing w:after="120" w:line="276"/>
        <w:ind w:firstLine="709"/>
        <w:jc w:val="both"/>
      </w:pPr>
      <w:r>
        <w:t xml:space="preserve">На основании пункта 2 статьи 5, статьи 105.17 НК РФ в применимой редакции, статей 198-201 АПК РФ 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решение ФНС России от [дата] № [номер] в части назначения проверки контролируемых сделок за [год], отражённых в уведомлении от [дата, номер], по договорам [перечень], как не соответствующее указанным нормам.</w:t>
      </w:r>
    </w:p>
    <w:p>
      <w:pPr>
        <w:spacing w:after="120" w:line="276"/>
        <w:ind w:left="360" w:hanging="360"/>
        <w:jc w:val="both"/>
      </w:pPr>
      <w:r>
        <w:t xml:space="preserve">2. Обязать ФНС России устранить нарушение прав заявителя путём исключения названных сделок за [год] из предмета проверки, назначенной данным решением.</w:t>
      </w:r>
    </w:p>
    <w:p>
      <w:pPr>
        <w:spacing w:after="120" w:line="276"/>
        <w:ind w:left="360" w:hanging="360"/>
        <w:jc w:val="both"/>
      </w:pPr>
      <w:r>
        <w:t xml:space="preserve">3. Взыскать в пользу заявителя расходы по уплате государственной пошлины в размере [сумма] рублей.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Оспариваемое решение с приложениями.</w:t>
      </w:r>
    </w:p>
    <w:p>
      <w:pPr>
        <w:spacing w:after="120" w:line="276"/>
        <w:ind w:left="360" w:hanging="360"/>
        <w:jc w:val="both"/>
      </w:pPr>
      <w:r>
        <w:t xml:space="preserve">2. Уведомление о контролируемых сделках и подтверждение его получения.</w:t>
      </w:r>
    </w:p>
    <w:p>
      <w:pPr>
        <w:spacing w:after="120" w:line="276"/>
        <w:ind w:left="360" w:hanging="360"/>
        <w:jc w:val="both"/>
      </w:pPr>
      <w:r>
        <w:t xml:space="preserve">3. Документы о последующих уточнениях и их содержании при наличии.</w:t>
      </w:r>
    </w:p>
    <w:p>
      <w:pPr>
        <w:spacing w:after="120" w:line="276"/>
        <w:ind w:left="360" w:hanging="360"/>
        <w:jc w:val="both"/>
      </w:pPr>
      <w:r>
        <w:t xml:space="preserve">4. Сопоставительная таблица сделок уведомления и решения.</w:t>
      </w:r>
    </w:p>
    <w:p>
      <w:pPr>
        <w:spacing w:after="120" w:line="276"/>
        <w:ind w:left="360" w:hanging="360"/>
        <w:jc w:val="both"/>
      </w:pPr>
      <w:r>
        <w:t xml:space="preserve">5. Расчёт срока назначения проверки.</w:t>
      </w:r>
    </w:p>
    <w:p>
      <w:pPr>
        <w:spacing w:after="120" w:line="276"/>
        <w:ind w:left="360" w:hanging="360"/>
        <w:jc w:val="both"/>
      </w:pPr>
      <w:r>
        <w:t xml:space="preserve">6. Документы о получении решения и соблюдении срока обращения.</w:t>
      </w:r>
    </w:p>
    <w:p>
      <w:pPr>
        <w:spacing w:after="120" w:line="276"/>
        <w:ind w:left="360" w:hanging="360"/>
        <w:jc w:val="both"/>
      </w:pPr>
      <w:r>
        <w:t xml:space="preserve">7. Требования и переписка, подтверждающие последствия проверки.</w:t>
      </w:r>
    </w:p>
    <w:p>
      <w:pPr>
        <w:spacing w:after="120" w:line="276"/>
        <w:ind w:left="360" w:hanging="360"/>
        <w:jc w:val="both"/>
      </w:pPr>
      <w:r>
        <w:t xml:space="preserve">8. Подтверждение направления заявления ФНС России.</w:t>
      </w:r>
    </w:p>
    <w:p>
      <w:pPr>
        <w:spacing w:after="120" w:line="276"/>
        <w:ind w:left="360" w:hanging="360"/>
        <w:jc w:val="both"/>
      </w:pPr>
      <w:r>
        <w:t xml:space="preserve">9. Документ об уплате пошлины либо обоснованное ходатайство.</w:t>
      </w:r>
    </w:p>
    <w:p>
      <w:pPr>
        <w:spacing w:after="120" w:line="276"/>
        <w:ind w:left="360" w:hanging="360"/>
        <w:jc w:val="both"/>
      </w:pPr>
      <w:r>
        <w:t xml:space="preserve">10. Документы о регистрации заявителя и полномочиях подписанта; актуальные сведения из ЕГРЮЛ в требуемом законом объёме.</w:t>
      </w:r>
    </w:p>
    <w:p>
      <w:pPr>
        <w:spacing w:after="120" w:line="276"/>
        <w:ind w:left="360" w:hanging="360"/>
        <w:jc w:val="both"/>
      </w:pPr>
      <w:r>
        <w:t xml:space="preserve">11. Документы о соответствии представителя требованиям АПК РФ, если заявление подаётся представителем.</w:t>
      </w:r>
    </w:p>
    <w:p>
      <w:pPr>
        <w:spacing w:after="120" w:line="276"/>
        <w:ind w:firstLine="709"/>
        <w:jc w:val="both"/>
      </w:pPr>
      <w:r>
        <w:t xml:space="preserve">[Должность или статус]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2026-11-06T17:20:16.534Z</dcterms:created>
  <dcterms:modified xsi:type="dcterms:W3CDTF">2026-11-06T17:20:16.534Z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