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/>
        <w:jc w:val="right"/>
      </w:pPr>
      <w:r>
        <w:t xml:space="preserve">В Арбитражный суд [субъект Российской Федерации]</w:t>
      </w:r>
    </w:p>
    <w:p>
      <w:pPr>
        <w:spacing w:after="0"/>
        <w:jc w:val="right"/>
      </w:pPr>
      <w:r>
        <w:t xml:space="preserve">Адрес: [адрес]</w:t>
      </w:r>
    </w:p>
    <w:p>
      <w:pPr>
        <w:spacing w:after="0"/>
        <w:jc w:val="right"/>
      </w:pPr>
      <w:r>
        <w:t xml:space="preserve">Дело № [номер]</w:t>
      </w:r>
    </w:p>
    <w:p>
      <w:pPr>
        <w:spacing w:after="0"/>
        <w:jc w:val="right"/>
      </w:pPr>
      <w:r>
        <w:t xml:space="preserve">Судья: [ФИО]</w:t>
      </w:r>
    </w:p>
    <w:p>
      <w:pPr>
        <w:spacing w:after="0"/>
        <w:jc w:val="right"/>
      </w:pPr>
      <w:r>
        <w:t xml:space="preserve">Заявитель: [полное наименование медицинского учреждения]</w:t>
      </w:r>
    </w:p>
    <w:p>
      <w:pPr>
        <w:spacing w:after="0"/>
        <w:jc w:val="right"/>
      </w:pPr>
      <w:r>
        <w:t xml:space="preserve">ОГРН [номер], ИНН [номер], адрес [адрес]</w:t>
      </w:r>
    </w:p>
    <w:p>
      <w:pPr>
        <w:spacing w:after="0"/>
        <w:jc w:val="right"/>
      </w:pPr>
      <w:r>
        <w:t xml:space="preserve">Представитель: [ФИО, основание полномочий]</w:t>
      </w:r>
    </w:p>
    <w:p>
      <w:pPr>
        <w:spacing w:after="0"/>
        <w:jc w:val="right"/>
      </w:pPr>
      <w:r>
        <w:t xml:space="preserve">Адрес для связи: [адрес], телефон [номер]</w:t>
      </w:r>
    </w:p>
    <w:p>
      <w:pPr>
        <w:spacing w:after="0"/>
        <w:jc w:val="right"/>
      </w:pPr>
      <w:r>
        <w:t xml:space="preserve">Заинтересованное лицо: Отделение Фонда пенсионного и социального страхования Российской Федерации по [субъект]</w:t>
      </w:r>
    </w:p>
    <w:p>
      <w:pPr>
        <w:spacing w:after="0"/>
        <w:jc w:val="right"/>
      </w:pPr>
      <w:r>
        <w:t xml:space="preserve">Адрес: [адрес]</w:t>
      </w:r>
    </w:p>
    <w:p>
      <w:pPr>
        <w:keepNext/>
        <w:spacing w:after="240" w:before="240"/>
        <w:ind w:firstLine="0"/>
        <w:jc w:val="center"/>
      </w:pPr>
      <w:r>
        <w:rPr>
          <w:b/>
          <w:bCs/>
          <w:sz w:val="32"/>
          <w:szCs w:val="32"/>
        </w:rPr>
        <w:t xml:space="preserve">ПИСЬМЕННЫЕ ПОЯСНЕНИЯ</w:t>
      </w:r>
    </w:p>
    <w:p>
      <w:pPr>
        <w:keepNext/>
        <w:spacing w:after="160" w:before="200"/>
        <w:ind w:firstLine="0"/>
        <w:jc w:val="center"/>
      </w:pPr>
      <w:r>
        <w:rPr>
          <w:b/>
          <w:bCs/>
        </w:rPr>
        <w:t xml:space="preserve">о норме рабочего времени при расчёте специальной социальной выплаты</w:t>
      </w:r>
    </w:p>
    <w:p>
      <w:pPr>
        <w:spacing w:after="120" w:line="276"/>
        <w:ind w:firstLine="709"/>
        <w:jc w:val="both"/>
      </w:pPr>
      <w:r>
        <w:t xml:space="preserve">В производстве суда находится дело по заявлению [наименование учреждения] о признании незаконным решения Отделения СФР от [дата] № [номер] в части [точно обозначить оспариваемый пункт и сумму]. На основании статей 41 и 81 АПК РФ учреждение представляет пояснения относительно нормы рабочего времени, применённой при расчёте специальной социальной выплаты за [месяцы, год].</w:t>
      </w:r>
    </w:p>
    <w:p>
      <w:pPr>
        <w:spacing w:after="120" w:line="276"/>
        <w:ind w:firstLine="709"/>
        <w:jc w:val="both"/>
      </w:pPr>
      <w:r>
        <w:t xml:space="preserve">Настоящие пояснения относятся к эпизоду, по которому фонд использовал продолжительность рабочей недели 39 часов вместо [число] часов, установленных коллективным договором учреждения. Иные основания решения фонда рассматриваются в [указать документ и раздел, если такие основания имеются]. Пределы заявленных требований настоящими пояснениями не изменяются.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1. Содержание разногласий и размер спорной суммы</w:t>
      </w:r>
    </w:p>
    <w:p>
      <w:pPr>
        <w:spacing w:after="120" w:line="276"/>
        <w:ind w:firstLine="709"/>
        <w:jc w:val="both"/>
      </w:pPr>
      <w:r>
        <w:t xml:space="preserve">В пункте [номер] решения фонда и разделе [номер] акта проверки от [дата] указано, что учреждение представило недостоверные сведения о норме рабочего времени работников [перечень категорий либо ссылка на приложение]. По расчёту фонда разница привела к излишней выплате [сумма] рублей.</w:t>
      </w:r>
    </w:p>
    <w:p>
      <w:pPr>
        <w:spacing w:after="120" w:line="276"/>
        <w:ind w:firstLine="709"/>
        <w:jc w:val="both"/>
      </w:pPr>
      <w:r>
        <w:t xml:space="preserve">Учреждение не согласно с этим выводом. Фактические часы отражены в табелях за [период] и соответствуют сведениям переданных реестров. Расхождение в рассматриваемом эпизоде вызвано использованием фондом иной нормы рабочего времени в знаменателе расчётного соотношения. Это подтверждается сопоставительной ведомостью в приложении [номер], строки [номера].</w:t>
      </w:r>
    </w:p>
    <w:p>
      <w:pPr>
        <w:spacing w:after="120" w:line="276"/>
        <w:ind w:firstLine="709"/>
        <w:jc w:val="both"/>
      </w:pPr>
      <w:r>
        <w:t xml:space="preserve">Если из общей суммы решения исключить расчётную разницу по указанному эпизоду, оспариваемая сумма составляет [сумма] рублей. Соотношение этой величины с первоначально заявленным требованием раскрыто в приложении [номер]. Учреждение просит оценивать данный эпизод отдельно от иных возможных замечаний к реестрам.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2. Основание применённой продолжительности недели</w:t>
      </w:r>
    </w:p>
    <w:p>
      <w:pPr>
        <w:spacing w:after="120" w:line="276"/>
        <w:ind w:firstLine="709"/>
        <w:jc w:val="both"/>
      </w:pPr>
      <w:r>
        <w:t xml:space="preserve">Пунктом [номер] коллективного договора от [дата] для работников категории [точное обозначение] установлена полная продолжительность рабочей недели [число] часов. Договор вступил в силу [дата] и действовал в течение всего спорного периода, что подтверждается [сам договор, соглашение о продлении, изменения с реквизитами].</w:t>
      </w:r>
    </w:p>
    <w:p>
      <w:pPr>
        <w:spacing w:after="120" w:line="276"/>
        <w:ind w:firstLine="709"/>
        <w:jc w:val="both"/>
      </w:pPr>
      <w:r>
        <w:t xml:space="preserve">Круг работников, на которых распространяется положение, определён пунктом [номер]. Работники, перечисленные в расчёте, относятся к этому кругу на основании [трудовые договоры, приказы, штатные и должностные сведения]. Пункт [номер] ПВТР согласуется с коллективным договором. Соответствующие положения представлены в приложениях [номера].</w:t>
      </w:r>
    </w:p>
    <w:p>
      <w:pPr>
        <w:spacing w:after="120" w:line="276"/>
        <w:ind w:firstLine="709"/>
        <w:jc w:val="both"/>
      </w:pPr>
      <w:r>
        <w:t xml:space="preserve">Для каждой спорной категории проведена проверка применимости постановления Правительства РФ от 14.02.2003 № 101 и общих оснований статьи 92 ТК РФ. Результат проверки: [конкретно указать, почему для включённых в эпизод работников отсутствует иная специальная норма, исключающая избранное обоснование]. Документальное подтверждение: [должностные сведения, характеристики работы, документы об условиях труда, иные материалы].</w:t>
      </w:r>
    </w:p>
    <w:p>
      <w:pPr>
        <w:spacing w:after="120" w:line="276"/>
        <w:ind w:firstLine="709"/>
        <w:jc w:val="both"/>
      </w:pPr>
      <w:r>
        <w:t xml:space="preserve">Установленная коллективным договором продолжительность является полной нормой для обозначенной категории. Она не представляет собой индивидуальную неполную занятость, согласованную по статье 93 ТК РФ. Это подтверждается условиями трудовых договоров [реквизиты и пункты] и документами об учёте рабочего времени. Сотрудники с иным режимом в данный расчётный эпизод не включены.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3. Правовое значение коллективного договора</w:t>
      </w:r>
    </w:p>
    <w:p>
      <w:pPr>
        <w:spacing w:after="120" w:line="276"/>
        <w:ind w:firstLine="709"/>
        <w:jc w:val="both"/>
      </w:pPr>
      <w:r>
        <w:t xml:space="preserve">Статья 350 ТК РФ закрепляет предельную продолжительность рабочего времени медицинских работников не более 39 часов в неделю. Из этой нормы не следует, что для каждого работника независимо от иных законных оснований должна применяться ровно 39-часовая неделя.</w:t>
      </w:r>
    </w:p>
    <w:p>
      <w:pPr>
        <w:spacing w:after="120" w:line="276"/>
        <w:ind w:firstLine="709"/>
        <w:jc w:val="both"/>
      </w:pPr>
      <w:r>
        <w:t xml:space="preserve">Часть 3 статьи 41 ТК РФ допускает закрепление в коллективном договоре более благоприятных условий труда с учётом финансово-экономического положения работодателя. В рассматриваемом случае установленная продолжительность относится к [категория] и применяется на основании [пункт договора]. Учреждение не выводит норму из одного лишь фактического графика либо количества явок.</w:t>
      </w:r>
    </w:p>
    <w:p>
      <w:pPr>
        <w:spacing w:after="120" w:line="276"/>
        <w:ind w:firstLine="709"/>
        <w:jc w:val="both"/>
      </w:pPr>
      <w:r>
        <w:t xml:space="preserve">При расчёте специальной социальной выплаты подлежат применению положения постановления Правительства РФ от 31.12.2022 № 2568 и утверждённых им правил в редакции, действовавшей в спорные месяцы: [указать редакцию и применимые пункты]. Норма времени должна определяться с учётом законно установленной работнику продолжительности недели, а фактическая работа подтверждаться самостоятельными учётными документами.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4. Проверяемость расчёта</w:t>
      </w:r>
    </w:p>
    <w:p>
      <w:pPr>
        <w:spacing w:after="120" w:line="276"/>
        <w:ind w:firstLine="709"/>
        <w:jc w:val="both"/>
      </w:pPr>
      <w:r>
        <w:t xml:space="preserve">Для каждого работника и каждого календарного месяца в приложении [номер] приведены следующие сведения:</w:t>
      </w:r>
    </w:p>
    <w:p>
      <w:pPr>
        <w:spacing w:after="120" w:line="276"/>
        <w:ind w:left="360" w:hanging="360"/>
        <w:jc w:val="both"/>
      </w:pPr>
      <w:r>
        <w:t xml:space="preserve">1. ФИО или идентификатор работника, позволяющий сопоставить документы.</w:t>
      </w:r>
    </w:p>
    <w:p>
      <w:pPr>
        <w:spacing w:after="120" w:line="276"/>
        <w:ind w:left="360" w:hanging="360"/>
        <w:jc w:val="both"/>
      </w:pPr>
      <w:r>
        <w:t xml:space="preserve">2. Должность и основание права на соответствующую специальную выплату.</w:t>
      </w:r>
    </w:p>
    <w:p>
      <w:pPr>
        <w:spacing w:after="120" w:line="276"/>
        <w:ind w:left="360" w:hanging="360"/>
        <w:jc w:val="both"/>
      </w:pPr>
      <w:r>
        <w:t xml:space="preserve">3. Продолжительность недели по коллективному договору.</w:t>
      </w:r>
    </w:p>
    <w:p>
      <w:pPr>
        <w:spacing w:after="120" w:line="276"/>
        <w:ind w:left="360" w:hanging="360"/>
        <w:jc w:val="both"/>
      </w:pPr>
      <w:r>
        <w:t xml:space="preserve">4. Месячная норма, рассчитанная исходя из этой продолжительности.</w:t>
      </w:r>
    </w:p>
    <w:p>
      <w:pPr>
        <w:spacing w:after="120" w:line="276"/>
        <w:ind w:left="360" w:hanging="360"/>
        <w:jc w:val="both"/>
      </w:pPr>
      <w:r>
        <w:t xml:space="preserve">5. Фактически отработанные часы по табелю.</w:t>
      </w:r>
    </w:p>
    <w:p>
      <w:pPr>
        <w:spacing w:after="120" w:line="276"/>
        <w:ind w:left="360" w:hanging="360"/>
        <w:jc w:val="both"/>
      </w:pPr>
      <w:r>
        <w:t xml:space="preserve">6. Показатели, переданные в реестре СФР.</w:t>
      </w:r>
    </w:p>
    <w:p>
      <w:pPr>
        <w:spacing w:after="120" w:line="276"/>
        <w:ind w:left="360" w:hanging="360"/>
        <w:jc w:val="both"/>
      </w:pPr>
      <w:r>
        <w:t xml:space="preserve">7. Норма и результат расчёта фонда.</w:t>
      </w:r>
    </w:p>
    <w:p>
      <w:pPr>
        <w:spacing w:after="120" w:line="276"/>
        <w:ind w:left="360" w:hanging="360"/>
        <w:jc w:val="both"/>
      </w:pPr>
      <w:r>
        <w:t xml:space="preserve">8. Расчёт учреждения и сумма разногласия.</w:t>
      </w:r>
    </w:p>
    <w:p>
      <w:pPr>
        <w:spacing w:after="120" w:line="276"/>
        <w:ind w:firstLine="709"/>
        <w:jc w:val="both"/>
      </w:pPr>
      <w:r>
        <w:t xml:space="preserve">Методика исчисления месячной нормы приведена в [раздел расчёта]. Отпуска, отсутствие и иные периоды, не относящиеся к фактической работе для целей применимого регулирования, раскрыты отдельно и не подменены ссылкой на выполнение полной нормы. Учреждение не просит считать неотработанное время фактически отработанным.</w:t>
      </w:r>
    </w:p>
    <w:p>
      <w:pPr>
        <w:spacing w:after="120" w:line="276"/>
        <w:ind w:firstLine="709"/>
        <w:jc w:val="both"/>
      </w:pPr>
      <w:r>
        <w:t xml:space="preserve">На примере работника [ФИО/идентификатор] за [месяц] расчёт выглядит следующим образом: [недельная продолжительность], месячная норма [часы], фактическая работа [часы], применённый размер выплаты [сумма], итог [сумма]. Фонд использовал [иная месячная норма], в результате чего получил [сумма]. Разница [сумма] относится именно к спорному основанию, что подтверждается [страницы расчётов обеих сторон].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5. Применимость определения Верховного Суда</w:t>
      </w:r>
    </w:p>
    <w:p>
      <w:pPr>
        <w:spacing w:after="120" w:line="276"/>
        <w:ind w:firstLine="709"/>
        <w:jc w:val="both"/>
      </w:pPr>
      <w:r>
        <w:t xml:space="preserve">В определении от 21.09.2026 № 310-ЭС26-3119 по делу № А64-2030/2025 Верховный Суд Российской Федерации рассмотрел спор медицинского учреждения с СФР о применении 38,5-часовой нормы вместо 39-часовой недели при расчёте специальной социальной выплаты.</w:t>
      </w:r>
    </w:p>
    <w:p>
      <w:pPr>
        <w:spacing w:after="120" w:line="276"/>
        <w:ind w:firstLine="709"/>
        <w:jc w:val="both"/>
      </w:pPr>
      <w:r>
        <w:t xml:space="preserve">Суд признал допустимым определение нормы коллективным договором при отсутствии иного регулирования для соответствующих категорий и не согласился с исключением трудовых норм из оценки расчёта. Постановление суда округа было отменено, решение первой инстанции и постановление апелляции, удовлетворившие заявление учреждения, оставлены в силе.</w:t>
      </w:r>
    </w:p>
    <w:p>
      <w:pPr>
        <w:spacing w:after="120" w:line="276"/>
        <w:ind w:firstLine="709"/>
        <w:jc w:val="both"/>
      </w:pPr>
      <w:r>
        <w:t xml:space="preserve">Существенное сходство с настоящим делом состоит в [указать подтверждённые обстоятельства: полная норма по коллективному договору, отсутствие иной специальной нормы, содержание возражения фонда]. Отличающиеся обстоятельства [перечислить при наличии] не меняют вывод по рассматриваемому эпизоду, поскольку [конкретное обоснование].</w:t>
      </w:r>
    </w:p>
    <w:p>
      <w:pPr>
        <w:spacing w:after="120" w:line="276"/>
        <w:ind w:firstLine="709"/>
        <w:jc w:val="both"/>
      </w:pPr>
      <w:r>
        <w:t xml:space="preserve">Учреждение ссылается на правовой подход Верховного Суда, а не на преюдициальность фактов чужого дела. Все фактические основания собственного расчёта подтверждены прилагаемыми документами.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6. Доказательства и поддержание требований</w:t>
      </w:r>
    </w:p>
    <w:p>
      <w:pPr>
        <w:spacing w:after="120" w:line="276"/>
        <w:ind w:firstLine="709"/>
        <w:jc w:val="both"/>
      </w:pPr>
      <w:r>
        <w:t xml:space="preserve">По части 5 статьи 200 АПК РФ обязанность доказать законность оспариваемого решения возлагается на принявший его орган. Вместе с тем учреждение представило кадровые документы, табели и расчёт, позволяющие проверить применимость нормы и содержание переданных сведений.</w:t>
      </w:r>
    </w:p>
    <w:p>
      <w:pPr>
        <w:spacing w:after="120" w:line="276"/>
        <w:ind w:firstLine="709"/>
        <w:jc w:val="both"/>
      </w:pPr>
      <w:r>
        <w:t xml:space="preserve">Копии пояснений и отсутствующих у других участников приложений направлены [дата, способ, реквизиты отправления]. Подтверждения направления прилагаются. Документы систематизированы по работникам и месяцам с отсылками к конкретным строкам сопоставительной ведомости.</w:t>
      </w:r>
    </w:p>
    <w:p>
      <w:pPr>
        <w:spacing w:after="120" w:line="276"/>
        <w:ind w:firstLine="709"/>
        <w:jc w:val="both"/>
      </w:pPr>
      <w:r>
        <w:t xml:space="preserve">На основании изложенного просим:</w:t>
      </w:r>
    </w:p>
    <w:p>
      <w:pPr>
        <w:spacing w:after="120" w:line="276"/>
        <w:ind w:left="360" w:hanging="360"/>
        <w:jc w:val="both"/>
      </w:pPr>
      <w:r>
        <w:t xml:space="preserve">1. Приобщить настоящие пояснения и приложения к материалам дела.</w:t>
      </w:r>
    </w:p>
    <w:p>
      <w:pPr>
        <w:spacing w:after="120" w:line="276"/>
        <w:ind w:left="360" w:hanging="360"/>
        <w:jc w:val="both"/>
      </w:pPr>
      <w:r>
        <w:t xml:space="preserve">2. Оценить расчёт спорной суммы с учётом полной нормы рабочего времени, установленной применимыми к работникам положениями коллективного договора.</w:t>
      </w:r>
    </w:p>
    <w:p>
      <w:pPr>
        <w:spacing w:after="120" w:line="276"/>
        <w:ind w:left="360" w:hanging="360"/>
        <w:jc w:val="both"/>
      </w:pPr>
      <w:r>
        <w:t xml:space="preserve">3. Удовлетворить ранее заявленное требование о признании незаконным решения Отделения СФР от [дата] № [номер] в части [пункт, эпизод и сумма] по основаниям, изложенным в заявлении и настоящих пояснениях.</w:t>
      </w:r>
    </w:p>
    <w:p>
      <w:pPr>
        <w:spacing w:after="120" w:line="276"/>
        <w:ind w:firstLine="709"/>
        <w:jc w:val="both"/>
      </w:pPr>
      <w:r>
        <w:t xml:space="preserve">Приложения:</w:t>
      </w:r>
    </w:p>
    <w:p>
      <w:pPr>
        <w:spacing w:after="120" w:line="276"/>
        <w:ind w:left="360" w:hanging="360"/>
        <w:jc w:val="both"/>
      </w:pPr>
      <w:r>
        <w:t xml:space="preserve">1. Коллективный договор и документы о действии в спорном периоде.</w:t>
      </w:r>
    </w:p>
    <w:p>
      <w:pPr>
        <w:spacing w:after="120" w:line="276"/>
        <w:ind w:left="360" w:hanging="360"/>
        <w:jc w:val="both"/>
      </w:pPr>
      <w:r>
        <w:t xml:space="preserve">2. Относимые положения ПВТР.</w:t>
      </w:r>
    </w:p>
    <w:p>
      <w:pPr>
        <w:spacing w:after="120" w:line="276"/>
        <w:ind w:left="360" w:hanging="360"/>
        <w:jc w:val="both"/>
      </w:pPr>
      <w:r>
        <w:t xml:space="preserve">3. Трудовые договоры и документы о должностях спорных работников.</w:t>
      </w:r>
    </w:p>
    <w:p>
      <w:pPr>
        <w:spacing w:after="120" w:line="276"/>
        <w:ind w:left="360" w:hanging="360"/>
        <w:jc w:val="both"/>
      </w:pPr>
      <w:r>
        <w:t xml:space="preserve">4. Материалы проверки специальных оснований продолжительности рабочего времени.</w:t>
      </w:r>
    </w:p>
    <w:p>
      <w:pPr>
        <w:spacing w:after="120" w:line="276"/>
        <w:ind w:left="360" w:hanging="360"/>
        <w:jc w:val="both"/>
      </w:pPr>
      <w:r>
        <w:t xml:space="preserve">5. Табели за спорные месяцы.</w:t>
      </w:r>
    </w:p>
    <w:p>
      <w:pPr>
        <w:spacing w:after="120" w:line="276"/>
        <w:ind w:left="360" w:hanging="360"/>
        <w:jc w:val="both"/>
      </w:pPr>
      <w:r>
        <w:t xml:space="preserve">6. Реестры, переданные СФР, и подтверждения их отправки.</w:t>
      </w:r>
    </w:p>
    <w:p>
      <w:pPr>
        <w:spacing w:after="120" w:line="276"/>
        <w:ind w:left="360" w:hanging="360"/>
        <w:jc w:val="both"/>
      </w:pPr>
      <w:r>
        <w:t xml:space="preserve">7. Сопоставительная ведомость и подробный расчёт.</w:t>
      </w:r>
    </w:p>
    <w:p>
      <w:pPr>
        <w:spacing w:after="120" w:line="276"/>
        <w:ind w:left="360" w:hanging="360"/>
        <w:jc w:val="both"/>
      </w:pPr>
      <w:r>
        <w:t xml:space="preserve">8. Документы о направлении пояснений участникам.</w:t>
      </w:r>
    </w:p>
    <w:p>
      <w:pPr>
        <w:spacing w:after="120" w:line="276"/>
        <w:ind w:left="360" w:hanging="360"/>
        <w:jc w:val="both"/>
      </w:pPr>
      <w:r>
        <w:t xml:space="preserve">9. Документы о полномочиях представителя, если ранее не представлены.</w:t>
      </w:r>
    </w:p>
    <w:p>
      <w:pPr>
        <w:spacing w:after="120" w:line="276"/>
        <w:ind w:firstLine="709"/>
        <w:jc w:val="both"/>
      </w:pPr>
      <w:r>
        <w:t xml:space="preserve">[Должность / статус представителя] [подпись] [ФИО]</w:t>
      </w:r>
    </w:p>
    <w:p>
      <w:pPr>
        <w:spacing w:after="120" w:line="276"/>
        <w:ind w:firstLine="709"/>
        <w:jc w:val="both"/>
      </w:pPr>
      <w:r>
        <w:t xml:space="preserve">[Дата]</w:t>
      </w:r>
    </w:p>
    <w:sectPr>
      <w:pgSz w:w="11906" w:h="16838" w:orient="portrait"/>
      <w:pgMar w:top="1134" w:right="850" w:bottom="1134" w:left="1701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defaultTabStop w:val="720"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/>
    </w:pPr>
    <w:rPr>
      <w:i/>
      <w:iCs/>
      <w:color w:val="44546A" w:themeColor="dark2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</w:style>
  <w:style w:type="paragraph" w:styleId="TOC1">
    <w:name w:val="toc 1"/>
    <w:basedOn w:val="Normal"/>
    <w:next w:val="Normal"/>
    <w:uiPriority w:val="39"/>
    <w:semiHidden/>
    <w:unhideWhenUsed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pPr>
      <w:spacing w:after="100"/>
      <w:ind w:left="280"/>
    </w:pPr>
  </w:style>
  <w:style w:type="paragraph" w:styleId="TOC3">
    <w:name w:val="toc 3"/>
    <w:basedOn w:val="Normal"/>
    <w:next w:val="Normal"/>
    <w:uiPriority w:val="39"/>
    <w:semiHidden/>
    <w:unhideWhenUsed/>
    <w:pPr>
      <w:spacing w:after="100"/>
      <w:ind w:left="560"/>
    </w:pPr>
  </w:style>
  <w:style w:type="paragraph" w:styleId="TOC4">
    <w:name w:val="toc 4"/>
    <w:basedOn w:val="Normal"/>
    <w:next w:val="Normal"/>
    <w:uiPriority w:val="39"/>
    <w:semiHidden/>
    <w:unhideWhenUsed/>
    <w:pPr>
      <w:spacing w:after="100"/>
      <w:ind w:left="840"/>
    </w:pPr>
  </w:style>
  <w:style w:type="paragraph" w:styleId="TOC5">
    <w:name w:val="toc 5"/>
    <w:basedOn w:val="Normal"/>
    <w:next w:val="Normal"/>
    <w:uiPriority w:val="39"/>
    <w:semiHidden/>
    <w:unhideWhenUsed/>
    <w:pPr>
      <w:spacing w:after="100"/>
      <w:ind w:left="1120"/>
    </w:pPr>
  </w:style>
  <w:style w:type="paragraph" w:styleId="TOC6">
    <w:name w:val="toc 6"/>
    <w:basedOn w:val="Normal"/>
    <w:next w:val="Normal"/>
    <w:uiPriority w:val="39"/>
    <w:semiHidden/>
    <w:unhideWhenUsed/>
    <w:pPr>
      <w:spacing w:after="100"/>
      <w:ind w:left="1400"/>
    </w:pPr>
  </w:style>
  <w:style w:type="paragraph" w:styleId="TOC7">
    <w:name w:val="toc 7"/>
    <w:basedOn w:val="Normal"/>
    <w:next w:val="Normal"/>
    <w:uiPriority w:val="39"/>
    <w:semiHidden/>
    <w:unhideWhenUsed/>
    <w:pPr>
      <w:spacing w:after="100"/>
      <w:ind w:left="1680"/>
    </w:pPr>
  </w:style>
  <w:style w:type="paragraph" w:styleId="TOC8">
    <w:name w:val="toc 8"/>
    <w:basedOn w:val="Normal"/>
    <w:next w:val="Normal"/>
    <w:uiPriority w:val="39"/>
    <w:semiHidden/>
    <w:unhideWhenUsed/>
    <w:pPr>
      <w:spacing w:after="100"/>
      <w:ind w:left="1960"/>
    </w:pPr>
  </w:style>
  <w:style w:type="paragraph" w:styleId="TOC9">
    <w:name w:val="toc 9"/>
    <w:basedOn w:val="Normal"/>
    <w:next w:val="Normal"/>
    <w:uiPriority w:val="39"/>
    <w:semiHidden/>
    <w:unhideWhenUsed/>
    <w:pPr>
      <w:spacing w:after="100"/>
      <w:ind w:left="2240"/>
    </w:p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2026-11-06T22:22:25.609Z</dcterms:created>
  <dcterms:modified xsi:type="dcterms:W3CDTF">2026-11-06T22:22:25.609Z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