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>Обособленный спор № [номер, если присвоен]</w:t>
      </w:r>
    </w:p>
    <w:p>
      <w:pPr>
        <w:spacing w:after="0"/>
        <w:jc w:val="right"/>
      </w:pPr>
      <w:r>
        <w:t xml:space="preserve">Должник: [наименование застройщика, ОГРН, ИНН, адрес]</w:t>
      </w:r>
    </w:p>
    <w:p>
      <w:pPr>
        <w:spacing w:after="0"/>
        <w:jc w:val="right"/>
      </w:pPr>
      <w:r>
        <w:t xml:space="preserve">Заявитель: конкурсный управляющий [ФИО]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Лицо, к которому предъявлено требование: [наименование Фонда]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Представитель: [ФИО, адрес, телефон, электронная почта]</w:t>
      </w:r>
    </w:p>
    <w:p>
      <w:pPr>
        <w:spacing w:after="0"/>
        <w:jc w:val="right"/>
      </w:pPr>
      <w:r>
        <w:t xml:space="preserve">Полномочия: [реквизиты доверенности]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заявление о взыскании дополнительных текущих расходов застройщика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заявления и позиция Фонда</w:t>
      </w:r>
    </w:p>
    <w:p>
      <w:pPr>
        <w:spacing w:after="120" w:line="276"/>
        <w:ind w:firstLine="709"/>
        <w:jc w:val="both"/>
      </w:pPr>
      <w:r>
        <w:t xml:space="preserve">В рамках дела о банкротстве [наименование должника] конкурсный управляющий обратился с заявлением о взыскании с [наименование Фонда] [сумма] рублей дополнительных текущих расходов за период с [дата] по [дата].</w:t>
      </w:r>
    </w:p>
    <w:p>
      <w:pPr>
        <w:spacing w:after="120" w:line="276"/>
        <w:ind w:firstLine="709"/>
        <w:jc w:val="both"/>
      </w:pPr>
      <w:r>
        <w:t xml:space="preserve">Заявитель ссылается на передачу Фонду прав застройщика на земельный участок [кадастровый номер] с находящимся на нём объектом незавершённого строительства [идентифицирующие сведения], а также на недостаточность оставшегося имущества для погашения текущих обязательств.</w:t>
      </w:r>
    </w:p>
    <w:p>
      <w:pPr>
        <w:spacing w:after="120" w:line="276"/>
        <w:ind w:firstLine="709"/>
        <w:jc w:val="both"/>
      </w:pPr>
      <w:r>
        <w:t xml:space="preserve">Фонд возражает против удовлетворения заявления. Обязанность по перечислению суммы, установленной определением об удовлетворении заявления о намерении, исполнена полностью. Предъявленные дополнительно расходы возникли после предусмотренной законом расчётной даты. Самостоятельное основание, возлагающее их оплату на Фонд, заявителем не подтверждено.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Определение и исполнение встречного предоставления</w:t>
      </w:r>
    </w:p>
    <w:p>
      <w:pPr>
        <w:spacing w:after="120" w:line="276"/>
        <w:ind w:firstLine="709"/>
        <w:jc w:val="both"/>
      </w:pPr>
      <w:r>
        <w:t xml:space="preserve">[Дата] Фонд направил в арбитражный суд заявление о намерении приобрести права застройщика в порядке статьи 201.15-2-2 Федерального закона от 26.10.2002 № 127-ФЗ «О несостоятельности (банкротстве)». Дата направления подтверждается [документ, реквизиты, листы дела].</w:t>
      </w:r>
    </w:p>
    <w:p>
      <w:pPr>
        <w:spacing w:after="120" w:line="276"/>
        <w:ind w:firstLine="709"/>
        <w:jc w:val="both"/>
      </w:pPr>
      <w:r>
        <w:t xml:space="preserve">Конкурсным управляющим представлен расчёт суммы, необходимой для погашения задолженности по текущим платежам и требований кредиторов первой и второй очередей, по состоянию на [дата]. Итоговая сумма расчёта составила [сумма] рублей, в том числе [основные составляющие с указанием сумм].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заявление о намерении удовлетворено. На Фонд возложена обязанность перечислить [сумма] рублей в срок [срок], что следует из [пункт резолютивной части, листы дела].</w:t>
      </w:r>
    </w:p>
    <w:p>
      <w:pPr>
        <w:spacing w:after="120" w:line="276"/>
        <w:ind w:firstLine="709"/>
        <w:jc w:val="both"/>
      </w:pPr>
      <w:r>
        <w:t xml:space="preserve">Обязанность исполнена платёжными поручениями [даты, номера, суммы]. Исполнение подтверждено [банковские документы, выписка]. Общая перечисленная сумма составляет [сумма] рублей и соответствует установленному судом размеру. Сверка платежей с резолютивной частью определения прилагается.</w:t>
      </w:r>
    </w:p>
    <w:p>
      <w:pPr>
        <w:spacing w:after="120" w:line="276"/>
        <w:ind w:firstLine="709"/>
        <w:jc w:val="both"/>
      </w:pPr>
      <w:r>
        <w:t xml:space="preserve">Определением от [дата] суд разрешил передачу Фонду прав на указанный участок и объект. Имущество передано по [договор, акт, дата]. Указанные документы идентифицируют тот же объект, в отношении которого рассмотрено заявление о намерении и исполнена обязанность по перечислению денежных средств.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Расчётная дата установлена законом</w:t>
      </w:r>
    </w:p>
    <w:p>
      <w:pPr>
        <w:spacing w:after="120" w:line="276"/>
        <w:ind w:firstLine="709"/>
        <w:jc w:val="both"/>
      </w:pPr>
      <w:r>
        <w:t xml:space="preserve">Подпункт 1 пункта 9 статьи 201.15-2-2 Закона о банкротстве предусматривает расчёт соответствующей задолженности на дату направления заявления о намерении в арбитражный суд. Конкурсный управляющий представляет расчёт, а суд устанавливает размер и условия перечисления в определении об удовлетворении заявления в соответствии с пунктом 14 названной статьи.</w:t>
      </w:r>
    </w:p>
    <w:p>
      <w:pPr>
        <w:spacing w:after="120" w:line="276"/>
        <w:ind w:firstLine="709"/>
        <w:jc w:val="both"/>
      </w:pPr>
      <w:r>
        <w:t xml:space="preserve">Платёжные документы подтверждают исполнение этой обязанности при решении вопроса о передаче прав. Последующее оформление передачи не изменяет установленную законом расчётную дату и само по себе не образует нового обязательства Фонда по оплате текущих расходов.</w:t>
      </w:r>
    </w:p>
    <w:p>
      <w:pPr>
        <w:spacing w:after="120" w:line="276"/>
        <w:ind w:firstLine="709"/>
        <w:jc w:val="both"/>
      </w:pPr>
      <w:r>
        <w:t xml:space="preserve">В настоящем деле расчётной датой является [дата направления заявления]. Дата [дата определения о передаче либо договора], используемая заявителем для обоснования дополнительного финансирования, относится к другому юридическому событию. Подмена этих дат не соответствует содержанию специального регулирования.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Состав дополнительных расходов</w:t>
      </w:r>
    </w:p>
    <w:p>
      <w:pPr>
        <w:spacing w:after="120" w:line="276"/>
        <w:ind w:firstLine="709"/>
        <w:jc w:val="both"/>
      </w:pPr>
      <w:r>
        <w:t xml:space="preserve">Согласно заявлению и приложенному расчёту, спорная сумма включает следующие группы: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[Вид расхода], [сумма] рублей, за период [период], основание начисления [договор, акт, иной документ].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[Вид расхода], [сумма] рублей, за период [период], основание начисления [документ].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[Вид расхода], [сумма] рублей, за период [период], основание начисления [документ].</w:t>
      </w:r>
    </w:p>
    <w:p>
      <w:pPr>
        <w:spacing w:after="120" w:line="276"/>
        <w:ind w:firstLine="709"/>
        <w:jc w:val="both"/>
      </w:pPr>
      <w:r>
        <w:t xml:space="preserve">Аналитическая сверка в приложении № [номер] показывает по каждой позиции период исполнения, момент возникновения задолженности, размер и подтверждающий документ. Задолженность, составляющая предмет настоящих возражений, возникла после [расчётная дата], что подтверждается [конкретные документы и сведения].</w:t>
      </w:r>
    </w:p>
    <w:p>
      <w:pPr>
        <w:spacing w:after="120" w:line="276"/>
        <w:ind w:firstLine="709"/>
        <w:jc w:val="both"/>
      </w:pPr>
      <w:r>
        <w:t xml:space="preserve">Для определения периода использованы обстоятельства возникновения обязательства, а не только дата составления акта или выставления счёта. Документ [реквизиты] относится к услугам за [период], поэтому его связь со спорным периодом подтверждается [содержание документа].</w:t>
      </w:r>
    </w:p>
    <w:p>
      <w:pPr>
        <w:spacing w:after="120" w:line="276"/>
        <w:ind w:firstLine="709"/>
        <w:jc w:val="both"/>
      </w:pPr>
      <w:r>
        <w:t xml:space="preserve">Фонд не основывает возражения исключительно на отсутствии расходов как таковых. Даже при подтверждении затрат должника необходимо установить предусмотренное законом или самостоятельным обязательством основание их взыскания с Фонда. В заявлении такое основание заменено ссылкой на передачу имущества и дефицит конкурсной массы.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Применимость позиции Верховного суда</w:t>
      </w:r>
    </w:p>
    <w:p>
      <w:pPr>
        <w:spacing w:after="120" w:line="276"/>
        <w:ind w:firstLine="709"/>
        <w:jc w:val="both"/>
      </w:pPr>
      <w:r>
        <w:t xml:space="preserve">В определении Судебной коллегии по экономическим спорам Верховного Суда РФ от 12.10.2026 № 307-ЭС22-12999(21) по делу № А56-75185/2018 рассмотрено требование конкурсного управляющего застройщика о возмещении дополнительных расходов Фондом после исполнения условий передачи имущества.</w:t>
      </w:r>
    </w:p>
    <w:p>
      <w:pPr>
        <w:spacing w:after="120" w:line="276"/>
        <w:ind w:firstLine="709"/>
        <w:jc w:val="both"/>
      </w:pPr>
      <w:r>
        <w:t xml:space="preserve">Верховный суд указал на определение соответствующих встречных денежных обязательств на дату направления заявления о намерении. Передача имущества не возлагает на Фонд дополнительных обязательств по финансированию процедуры сверх суммы, указанной в определении об удовлетворении заявления.</w:t>
      </w:r>
    </w:p>
    <w:p>
      <w:pPr>
        <w:spacing w:after="120" w:line="276"/>
        <w:ind w:firstLine="709"/>
        <w:jc w:val="both"/>
      </w:pPr>
      <w:r>
        <w:t xml:space="preserve">СКЭС отменила акты апелляции и округа, взыскавших дополнительные расходы, и оставила в силе отказ первой инстанции. Значимыми для настоящего спора являются совпадающие обстоятельства: специальный механизм передачи, установленная судом сумма, исполнение обязанности Фондом и предъявление последующих расходов на основании самого факта приобретения имущества.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Ответ на доводы о возможной продаже имущества</w:t>
      </w:r>
    </w:p>
    <w:p>
      <w:pPr>
        <w:spacing w:after="120" w:line="276"/>
        <w:ind w:firstLine="709"/>
        <w:jc w:val="both"/>
      </w:pPr>
      <w:r>
        <w:t xml:space="preserve">Заявитель указывает, что выручка от продажи участка и недостроя могла бы использоваться для погашения текущих обязательств. Однако предполагаемый результат иной модели распоряжения имуществом не устанавливает объём обязанностей Фонда при применённом механизме передачи.</w:t>
      </w:r>
    </w:p>
    <w:p>
      <w:pPr>
        <w:spacing w:after="120" w:line="276"/>
        <w:ind w:firstLine="709"/>
        <w:jc w:val="both"/>
      </w:pPr>
      <w:r>
        <w:t xml:space="preserve">Ссылки на необходимость защиты кредиторов и недостаточность имущества должника также не заменяют норму, возлагающую спорный долг на Фонд. В определении № 307-ЭС22-12999(21) Верховный суд отверг вывод о дополнительном финансировании, сделанный со ссылками на постановление КС РФ от 21.07.2022 № 34-П и пункт 37 Обзора практики по банкротству за 2022 год.</w:t>
      </w:r>
    </w:p>
    <w:p>
      <w:pPr>
        <w:spacing w:after="120" w:line="276"/>
        <w:ind w:firstLine="709"/>
        <w:jc w:val="both"/>
      </w:pPr>
      <w:r>
        <w:t xml:space="preserve">Указание на полезность оплаченных мероприятий для переданного объекта не подтверждает заключения Фондом договора на эти услуги либо принятия соответствующего долга. По представленным материалам заказчиком спорных услуг выступал [лицо], что следует из [документы]. Документов о самостоятельном принятии Фондом обязанности оплатить заявленные суммы не представлено.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пунктами 9 и 14 статьи 201.15-2-2 Закона о банкротстве, статьями 65 и 131 АПК РФ,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настоящий отзыв и приложенные документы к материалам обособленного спора.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заявления конкурсного управляющего [ФИО] о взыскании с [наименование Фонда] [сумма] рублей дополнительных текущих расходов по указанным в заявлении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Приложения</w:t>
      </w:r>
    </w:p>
    <w:p>
      <w:pPr>
        <w:spacing w:after="120" w:line="276"/>
        <w:ind w:left="360" w:hanging="360"/>
        <w:jc w:val="both"/>
      </w:pPr>
      <w:r>
        <w:t xml:space="preserve">1. Заявление о намерении и подтверждение даты его направления.</w:t>
      </w:r>
    </w:p>
    <w:p>
      <w:pPr>
        <w:spacing w:after="120" w:line="276"/>
        <w:ind w:left="360" w:hanging="360"/>
        <w:jc w:val="both"/>
      </w:pPr>
      <w:r>
        <w:t xml:space="preserve">2. Первоначальный расчёт текущих платежей и требований первой и второй очередей.</w:t>
      </w:r>
    </w:p>
    <w:p>
      <w:pPr>
        <w:spacing w:after="120" w:line="276"/>
        <w:ind w:left="360" w:hanging="360"/>
        <w:jc w:val="both"/>
      </w:pPr>
      <w:r>
        <w:t xml:space="preserve">3. Определение об удовлетворении заявления о намерении.</w:t>
      </w:r>
    </w:p>
    <w:p>
      <w:pPr>
        <w:spacing w:after="120" w:line="276"/>
        <w:ind w:left="360" w:hanging="360"/>
        <w:jc w:val="both"/>
      </w:pPr>
      <w:r>
        <w:t xml:space="preserve">4. Платёжные поручения и банковские подтверждения исполнения.</w:t>
      </w:r>
    </w:p>
    <w:p>
      <w:pPr>
        <w:spacing w:after="120" w:line="276"/>
        <w:ind w:left="360" w:hanging="360"/>
        <w:jc w:val="both"/>
      </w:pPr>
      <w:r>
        <w:t xml:space="preserve">5. Сверка перечислений с установленной судом суммой.</w:t>
      </w:r>
    </w:p>
    <w:p>
      <w:pPr>
        <w:spacing w:after="120" w:line="276"/>
        <w:ind w:left="360" w:hanging="360"/>
        <w:jc w:val="both"/>
      </w:pPr>
      <w:r>
        <w:t xml:space="preserve">6. Определение о передаче прав, договор и акт передачи имущества.</w:t>
      </w:r>
    </w:p>
    <w:p>
      <w:pPr>
        <w:spacing w:after="120" w:line="276"/>
        <w:ind w:left="360" w:hanging="360"/>
        <w:jc w:val="both"/>
      </w:pPr>
      <w:r>
        <w:t xml:space="preserve">7. Аналитическая сверка спорных расходов по основаниям, периодам и документам.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возражения по отдельным расходам, [перечень].</w:t>
      </w:r>
    </w:p>
    <w:p>
      <w:pPr>
        <w:spacing w:after="120" w:line="276"/>
        <w:ind w:left="360" w:hanging="360"/>
        <w:jc w:val="both"/>
      </w:pPr>
      <w:r>
        <w:t xml:space="preserve">9. Подтверждение направления отзыва и приложений участникам обособленного спора.</w:t>
      </w:r>
    </w:p>
    <w:p>
      <w:pPr>
        <w:spacing w:after="120" w:line="276"/>
        <w:ind w:left="360" w:hanging="360"/>
        <w:jc w:val="both"/>
      </w:pPr>
      <w:r>
        <w:t xml:space="preserve">10. Доверенность и документы представителя, необходимые для участия в деле.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Фонда]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2026-11-06T22:22:28.461Z</dcterms:created>
  <dcterms:modified xsi:type="dcterms:W3CDTF">2026-11-06T22:22:28.461Z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