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Дело № [номер]</w:t>
      </w:r>
    </w:p>
    <w:p>
      <w:pPr>
        <w:spacing w:after="0"/>
        <w:jc w:val="right"/>
      </w:pPr>
      <w:r>
        <w:t xml:space="preserve">Судья: [ФИО]</w:t>
      </w:r>
    </w:p>
    <w:p>
      <w:pPr>
        <w:spacing w:after="0"/>
        <w:jc w:val="right"/>
      </w:pPr>
      <w:r>
        <w:t xml:space="preserve">Истец: [полное наименование]</w:t>
      </w:r>
    </w:p>
    <w:p>
      <w:pPr>
        <w:spacing w:after="0"/>
        <w:jc w:val="right"/>
      </w:pPr>
      <w:r>
        <w:t xml:space="preserve">ОГРН [номер], ИНН [номер], адрес [адрес]</w:t>
      </w:r>
    </w:p>
    <w:p>
      <w:pPr>
        <w:spacing w:after="0"/>
        <w:jc w:val="right"/>
      </w:pPr>
      <w:r>
        <w:t xml:space="preserve">Представитель: [ФИО, основание полномочий]</w:t>
      </w:r>
    </w:p>
    <w:p>
      <w:pPr>
        <w:spacing w:after="0"/>
        <w:jc w:val="right"/>
      </w:pPr>
      <w:r>
        <w:t xml:space="preserve">Ответчик: [полное наименование]</w:t>
      </w:r>
    </w:p>
    <w:p>
      <w:pPr>
        <w:spacing w:after="0"/>
        <w:jc w:val="right"/>
      </w:pPr>
      <w:r>
        <w:t xml:space="preserve">ОГРН [номер], ИНН [номер], адрес [адрес]</w:t>
      </w:r>
    </w:p>
    <w:p>
      <w:pPr>
        <w:spacing w:after="0"/>
        <w:jc w:val="right"/>
      </w:pPr>
      <w:r>
        <w:t xml:space="preserve">Третьи лица: [наименования и адреса]</w:t>
      </w:r>
    </w:p>
    <w:p>
      <w:pPr>
        <w:spacing w:after="0"/>
        <w:jc w:val="right"/>
      </w:pPr>
      <w:r>
        <w:t xml:space="preserve">Контакты истца: [телефон, электронная почта]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ПИСЬМЕННЫЕ ПОЯСНЕНИЯ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по доводу о неделимости производственных зданий и оборудования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дело по иску [наименование] к [наименование] о [точное содержание ранее заявленных требований]. Ответчик в отзыве от [дата] ссылается на неделимость принадлежащих истцу зданий и размещённого в них оборудования, полагая, что это исключает возврат недвижимости и взыскание платы по договору аренды.</w:t>
      </w:r>
    </w:p>
    <w:p>
      <w:pPr>
        <w:spacing w:after="120" w:line="276"/>
        <w:ind w:firstLine="709"/>
        <w:jc w:val="both"/>
      </w:pPr>
      <w:r>
        <w:t xml:space="preserve">На основании статей 41 и 81 АПК РФ истец представляет пояснения и доказательства относительно договорной истории, фактического использования объектов и оснований денежного требования. Пределы иска определены [реквизиты первоначального заявления и принятого судом уточнения]. Настоящие пояснения не содержат самостоятельного требования о переходе права собственности на оборудование ответчика.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аренды и полномочия истца</w:t>
      </w:r>
    </w:p>
    <w:p>
      <w:pPr>
        <w:spacing w:after="120" w:line="276"/>
        <w:ind w:firstLine="709"/>
        <w:jc w:val="both"/>
      </w:pPr>
      <w:r>
        <w:t xml:space="preserve">По договору от [дата] № [номер] ответчику переданы объекты недвижимости, перечисленные в приложении [номер]: [адрес, кадастровые номера, назначение и площадь либо ссылка на подробный перечень]. Полномочия истца в отношении этих объектов подтверждены [выписки ЕГРН, договор управления, иные документы].</w:t>
      </w:r>
    </w:p>
    <w:p>
      <w:pPr>
        <w:spacing w:after="120" w:line="276"/>
        <w:ind w:firstLine="709"/>
        <w:jc w:val="both"/>
      </w:pPr>
      <w:r>
        <w:t xml:space="preserve">Принадлежность оборудования ответчику не оспаривается в пределах [указать конкретный перечень и предмет согласия сторон]. Вместе с тем право на оборудование само по себе не устанавливает право ответчика бесплатно и бессрочно занимать недвижимость истца. Основание пользования зданиями было согласовано сторонами в указанном договоре.</w:t>
      </w:r>
    </w:p>
    <w:p>
      <w:pPr>
        <w:spacing w:after="120" w:line="276"/>
        <w:ind w:firstLine="709"/>
        <w:jc w:val="both"/>
      </w:pPr>
      <w:r>
        <w:t xml:space="preserve">В приложении [номер] составлен пообъектный перечень. Для каждого здания отражены фактический пользователь, размещённое оборудование, характер крепления и документы, подтверждающие текущее состояние. Такой анализ необходим, поскольку довод ответчика заявлен в отношении всего комплекса без разграничения отдельных объектов.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Прежние судебные акты и последующее регулирование отношений</w:t>
      </w:r>
    </w:p>
    <w:p>
      <w:pPr>
        <w:spacing w:after="120" w:line="276"/>
        <w:ind w:firstLine="709"/>
        <w:jc w:val="both"/>
      </w:pPr>
      <w:r>
        <w:t xml:space="preserve">Ответчик ссылается на судебный акт [суд, дата, дело, конкретный вывод]. В том деле рассматривался вопрос [предмет], а выводы относились к обстоятельствам [период, состав имущества]. Истец не предлагает игнорировать установленные обстоятельства.</w:t>
      </w:r>
    </w:p>
    <w:p>
      <w:pPr>
        <w:spacing w:after="120" w:line="276"/>
        <w:ind w:firstLine="709"/>
        <w:jc w:val="both"/>
      </w:pPr>
      <w:r>
        <w:t xml:space="preserve">После принятия указанного акта стороны заключили [перечень договоров и дополнительных соглашений с датами]. Последний договор от [дата] определил самостоятельный предмет аренды, срок пользования, плату и обязанность возврата. Соответствующие условия содержатся в пунктах [номера].</w:t>
      </w:r>
    </w:p>
    <w:p>
      <w:pPr>
        <w:spacing w:after="120" w:line="276"/>
        <w:ind w:firstLine="709"/>
        <w:jc w:val="both"/>
      </w:pPr>
      <w:r>
        <w:t xml:space="preserve">Фактическое исполнение подтверждается [акты, платежи, переписка, документы об использовании]. Ответчик в [конкретный документ] признавал [относимое обстоятельство: размер платы, обязанность возврата, отдельный статус недвижимости]. Эти доказательства характеризуют отношения после прежнего судебного акта и требуют самостоятельной оценки.</w:t>
      </w:r>
    </w:p>
    <w:p>
      <w:pPr>
        <w:spacing w:after="120" w:line="276"/>
        <w:ind w:firstLine="709"/>
        <w:jc w:val="both"/>
      </w:pPr>
      <w:r>
        <w:t xml:space="preserve">Хронология в приложении [номер] разграничивает установленные ранее обстоятельства и последующие действия сторон. Ссылка на старую квалификацию без оценки новых соглашений не отвечает на вопрос, на каком основании ответчик пользовался недвижимостью в заявленный период.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Прекращение аренды и фактический невозврат</w:t>
      </w:r>
    </w:p>
    <w:p>
      <w:pPr>
        <w:spacing w:after="120" w:line="276"/>
        <w:ind w:firstLine="709"/>
        <w:jc w:val="both"/>
      </w:pPr>
      <w:r>
        <w:t xml:space="preserve">Договор прекратился [дата] по основанию [условие договора, соглашение, надлежащее уведомление]. Документы о прекращении и доставке соответствующих сообщений приложены: [наименования, даты, номера].</w:t>
      </w:r>
    </w:p>
    <w:p>
      <w:pPr>
        <w:spacing w:after="120" w:line="276"/>
        <w:ind w:firstLine="709"/>
        <w:jc w:val="both"/>
      </w:pPr>
      <w:r>
        <w:t xml:space="preserve">Истец выразил возражения против дальнейшего пользования [дата, документ, подтверждение доставки]. Обстоятельства, на которые ответчик ссылается как на возобновление договора на неопределённый срок, заключаются в [конкретный довод]. Позиция истца по ним: [обоснование с отсылкой к договору и переписке]. Само истечение календарной даты не используется истцом без проверки последующего поведения сторон.</w:t>
      </w:r>
    </w:p>
    <w:p>
      <w:pPr>
        <w:spacing w:after="120" w:line="276"/>
        <w:ind w:firstLine="709"/>
        <w:jc w:val="both"/>
      </w:pPr>
      <w:r>
        <w:t xml:space="preserve">Для приёмки имущества истец предложил [даты, время, порядок осмотра, уполномоченные лица]. Готовность принять объекты подтверждается [переписка, доверенности, акты явки]. Препятствия со стороны истца отсутствовали, что следует из [конкретные доказательства, а не общее утверждение].</w:t>
      </w:r>
    </w:p>
    <w:p>
      <w:pPr>
        <w:spacing w:after="120" w:line="276"/>
        <w:ind w:firstLine="709"/>
        <w:jc w:val="both"/>
      </w:pPr>
      <w:r>
        <w:t xml:space="preserve">На дату [дата] ответчик продолжает пользоваться объектами [перечень]. Объекты, возвращённые ранее, обозначены отдельно; даты возврата учтены в расчёте. Отсутствие подписанного акта оценивается вместе с фактическим освобождением, передачей ключей и возможностью истца осуществлять контроль над недвижимостью.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Технические обстоятельства, требующие пообъектной оценки</w:t>
      </w:r>
    </w:p>
    <w:p>
      <w:pPr>
        <w:spacing w:after="120" w:line="276"/>
        <w:ind w:firstLine="709"/>
        <w:jc w:val="both"/>
      </w:pPr>
      <w:r>
        <w:t xml:space="preserve">Ответчик обосновывает неделимость [конкретное заключение, схема, довод]. Между тем применительно к зданию [идентификатор] оборудование [описать размещение], а применительно к зданию [идентификатор] [другая установленная ситуация]. Эти различия подтверждаются [документы, страницы].</w:t>
      </w:r>
    </w:p>
    <w:p>
      <w:pPr>
        <w:spacing w:after="120" w:line="276"/>
        <w:ind w:firstLine="709"/>
        <w:jc w:val="both"/>
      </w:pPr>
      <w:r>
        <w:t xml:space="preserve">В период после прежнего судебного акта произведены [замена, перенос, модернизация с конкретными датами]. Документы [наименования] показывают состав работ и способ отделения соответствующих элементов. Истец не утверждает, что любая замена автоматически исключает неделимость: значение имеет её влияние на существенные свойства имущества и фактическую возможность возврата отдельных объектов.</w:t>
      </w:r>
    </w:p>
    <w:p>
      <w:pPr>
        <w:spacing w:after="120" w:line="276"/>
        <w:ind w:firstLine="709"/>
        <w:jc w:val="both"/>
      </w:pPr>
      <w:r>
        <w:t xml:space="preserve">Статья 133 ГК РФ требует оценивать не только хозяйственное назначение, но и условия неделимости вещи, участвующей в обороте как единый объект вещных прав. Общая производственная цель не заменяет доказательств невозможности самостоятельного использования конкретного склада, магазина или иного здания.</w:t>
      </w:r>
    </w:p>
    <w:p>
      <w:pPr>
        <w:spacing w:after="120" w:line="276"/>
        <w:ind w:firstLine="709"/>
        <w:jc w:val="both"/>
      </w:pPr>
      <w:r>
        <w:t xml:space="preserve">Технические вопросы о демонтаже и сохранности конструкций отделены от правовой квалификации отношений. При необходимости специальных знаний истец представит самостоятельное мотивированное ходатайство с перечнем технических вопросов. Правовой вывод о применении договора относится к компетенции суда.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Основание платы и расчёт</w:t>
      </w:r>
    </w:p>
    <w:p>
      <w:pPr>
        <w:spacing w:after="120" w:line="276"/>
        <w:ind w:firstLine="709"/>
        <w:jc w:val="both"/>
      </w:pPr>
      <w:r>
        <w:t xml:space="preserve">По статье 622 ГК РФ несвоевременный возврат арендованного имущества даёт основание требовать плату за время просрочки. Пункт [номер] договора устанавливает [точное условие о размере платы за период невозврата]. Истец применяет именно согласованное условие, а не предполагает наличие универсальной двойной ставки.</w:t>
      </w:r>
    </w:p>
    <w:p>
      <w:pPr>
        <w:spacing w:after="120" w:line="276"/>
        <w:ind w:firstLine="709"/>
        <w:jc w:val="both"/>
      </w:pPr>
      <w:r>
        <w:t xml:space="preserve">Расчёт в приложении [номер] содержит период с [дата] по [дата], ставку [сумма и основание], изменения ставки, частичный возврат объектов, платежи ответчика и остаток [сумма]. Даты фактического использования подтверждены [акты, переписка, иные документы].</w:t>
      </w:r>
    </w:p>
    <w:p>
      <w:pPr>
        <w:spacing w:after="120" w:line="276"/>
        <w:ind w:firstLine="709"/>
        <w:jc w:val="both"/>
      </w:pPr>
      <w:r>
        <w:t xml:space="preserve">Дополнительные санкции не включены скрыто в сумму платы. Требования по ним [не заявлены / описать конкретно в соответствии с уже принятым иском]. Арифметика и правовая квалификация каждого начисления раскрыты отдельно. При наличии возражений ответчика о расчёте истец отвечает на них в [раздел, приложение].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Значение позиции Верховного Суда</w:t>
      </w:r>
    </w:p>
    <w:p>
      <w:pPr>
        <w:spacing w:after="120" w:line="276"/>
        <w:ind w:firstLine="709"/>
        <w:jc w:val="both"/>
      </w:pPr>
      <w:r>
        <w:t xml:space="preserve">В определении ВС РФ от 21.09.2026 № 305-ЭС20-20813 по делу № А40-240087/2019 рассмотрена ситуация, в которой пользователь производственных зданий ссылался на неделимость имущества, несмотря на последующие срочные возмездные договоры аренды.</w:t>
      </w:r>
    </w:p>
    <w:p>
      <w:pPr>
        <w:spacing w:after="120" w:line="276"/>
        <w:ind w:firstLine="709"/>
        <w:jc w:val="both"/>
      </w:pPr>
      <w:r>
        <w:t xml:space="preserve">Суд указал на необходимость учитывать избранную сторонами договорную модель, обязанность оплаты и недопустимость противоречивого поведения. Отказ одновременно в возврате и в плате не должен создавать необоснованное бессрочное бесплатное пользование чужой недвижимостью. При этом дело направлено на новое рассмотрение, а заявленная сумма не присуждена самим Верховным Судом.</w:t>
      </w:r>
    </w:p>
    <w:p>
      <w:pPr>
        <w:spacing w:after="120" w:line="276"/>
        <w:ind w:firstLine="709"/>
        <w:jc w:val="both"/>
      </w:pPr>
      <w:r>
        <w:t xml:space="preserve">В настоящем деле существенное сходство состоит в [конкретные подтверждённые обстоятельства]. Отличия [перечислить] оценены истцом следующим образом: [обоснование]. Ссылка на определение используется как правовой ориентир и не подменяет доказательств фактического состава.</w:t>
      </w:r>
    </w:p>
    <w:p>
      <w:pPr>
        <w:spacing w:after="120" w:line="276"/>
        <w:ind w:firstLine="709"/>
        <w:jc w:val="both"/>
      </w:pPr>
      <w:r>
        <w:t xml:space="preserve">На основании изложенного просим:</w:t>
      </w:r>
    </w:p>
    <w:p>
      <w:pPr>
        <w:spacing w:after="120" w:line="276"/>
        <w:ind w:left="360" w:hanging="360"/>
        <w:jc w:val="both"/>
      </w:pPr>
      <w:r>
        <w:t xml:space="preserve">1. Приобщить настоящие пояснения и приложения к материалам дела.</w:t>
      </w:r>
    </w:p>
    <w:p>
      <w:pPr>
        <w:spacing w:after="120" w:line="276"/>
        <w:ind w:left="360" w:hanging="360"/>
        <w:jc w:val="both"/>
      </w:pPr>
      <w:r>
        <w:t xml:space="preserve">2. Оценить возражение о неделимости с учётом последующих договоров, исполнения, технических изменений и фактического пользования каждым объектом.</w:t>
      </w:r>
    </w:p>
    <w:p>
      <w:pPr>
        <w:spacing w:after="120" w:line="276"/>
        <w:ind w:left="360" w:hanging="360"/>
        <w:jc w:val="both"/>
      </w:pPr>
      <w:r>
        <w:t xml:space="preserve">3. Удовлетворить ранее заявленные требования о [точно воспроизвести актуальный предмет иска в части возврата] и взыскании [сумма] рублей за [период] в пределах принятого судом заявления.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Хронология судебных актов и последующих договоров.</w:t>
      </w:r>
    </w:p>
    <w:p>
      <w:pPr>
        <w:spacing w:after="120" w:line="276"/>
        <w:ind w:left="360" w:hanging="360"/>
        <w:jc w:val="both"/>
      </w:pPr>
      <w:r>
        <w:t xml:space="preserve">2. Договоры и относимые дополнительные соглашения.</w:t>
      </w:r>
    </w:p>
    <w:p>
      <w:pPr>
        <w:spacing w:after="120" w:line="276"/>
        <w:ind w:left="360" w:hanging="360"/>
        <w:jc w:val="both"/>
      </w:pPr>
      <w:r>
        <w:t xml:space="preserve">3. Пообъектный перечень недвижимости и оборудования.</w:t>
      </w:r>
    </w:p>
    <w:p>
      <w:pPr>
        <w:spacing w:after="120" w:line="276"/>
        <w:ind w:left="360" w:hanging="360"/>
        <w:jc w:val="both"/>
      </w:pPr>
      <w:r>
        <w:t xml:space="preserve">4. Документы о прекращении аренды и требованиях возврата.</w:t>
      </w:r>
    </w:p>
    <w:p>
      <w:pPr>
        <w:spacing w:after="120" w:line="276"/>
        <w:ind w:left="360" w:hanging="360"/>
        <w:jc w:val="both"/>
      </w:pPr>
      <w:r>
        <w:t xml:space="preserve">5. Подтверждения готовности истца принять имущество.</w:t>
      </w:r>
    </w:p>
    <w:p>
      <w:pPr>
        <w:spacing w:after="120" w:line="276"/>
        <w:ind w:left="360" w:hanging="360"/>
        <w:jc w:val="both"/>
      </w:pPr>
      <w:r>
        <w:t xml:space="preserve">6. Документы о фактическом пользовании и частичном возврате.</w:t>
      </w:r>
    </w:p>
    <w:p>
      <w:pPr>
        <w:spacing w:after="120" w:line="276"/>
        <w:ind w:left="360" w:hanging="360"/>
        <w:jc w:val="both"/>
      </w:pPr>
      <w:r>
        <w:t xml:space="preserve">7. Технические материалы и документы о модернизации.</w:t>
      </w:r>
    </w:p>
    <w:p>
      <w:pPr>
        <w:spacing w:after="120" w:line="276"/>
        <w:ind w:left="360" w:hanging="360"/>
        <w:jc w:val="both"/>
      </w:pPr>
      <w:r>
        <w:t xml:space="preserve">8. Расчёт платы и подтверждения учтённых платежей.</w:t>
      </w:r>
    </w:p>
    <w:p>
      <w:pPr>
        <w:spacing w:after="120" w:line="276"/>
        <w:ind w:left="360" w:hanging="360"/>
        <w:jc w:val="both"/>
      </w:pPr>
      <w:r>
        <w:t xml:space="preserve">9. Подтверждения направления пояснений и приложений участникам.</w:t>
      </w:r>
    </w:p>
    <w:p>
      <w:pPr>
        <w:spacing w:after="120" w:line="276"/>
        <w:ind w:left="360" w:hanging="360"/>
        <w:jc w:val="both"/>
      </w:pPr>
      <w:r>
        <w:t xml:space="preserve">10. Документы о полномочиях подписанта, если ранее не представлены.</w:t>
      </w:r>
    </w:p>
    <w:p>
      <w:pPr>
        <w:spacing w:after="120" w:line="276"/>
        <w:ind w:firstLine="709"/>
        <w:jc w:val="both"/>
      </w:pPr>
      <w:r>
        <w:t xml:space="preserve">[Статус подписанта] [подпись]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2026-11-06T22:22:31.763Z</dcterms:created>
  <dcterms:modified xsi:type="dcterms:W3CDTF">2026-11-06T22:22:31.763Z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