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СОГЛАШЕНИЕ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обмене сведениями для формирования и изменения электронной путёвки</w:t>
      </w:r>
    </w:p>
    <w:p>
      <w:pPr>
        <w:spacing w:after="120" w:line="276"/>
        <w:ind w:firstLine="709"/>
        <w:jc w:val="both"/>
      </w:pPr>
      <w:r>
        <w:t xml:space="preserve">к договору от [дата] № [номер]</w:t>
      </w:r>
    </w:p>
    <w:p>
      <w:pPr>
        <w:spacing w:after="120" w:line="276"/>
        <w:ind w:firstLine="709"/>
        <w:jc w:val="both"/>
      </w:pPr>
      <w:r>
        <w:t xml:space="preserve">[Место заключения] [Дата]</w:t>
      </w:r>
    </w:p>
    <w:p>
      <w:pPr>
        <w:spacing w:after="120" w:line="276"/>
        <w:ind w:firstLine="709"/>
        <w:jc w:val="both"/>
      </w:pPr>
      <w:r>
        <w:t xml:space="preserve">[Полное наименование туроператора], реестровый номер [номер], в лице [должность, ФИО], действующего на основании [документ], далее «Туроператор», и [полное наименование турагента / ФИО ИП], реестровый номер [номер], в лице [должность, ФИО], действующего на основании [документ], далее «Турагент», совместно «Стороны», заключили настоящее соглашение.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применимые правила</w:t>
      </w:r>
    </w:p>
    <w:p>
      <w:pPr>
        <w:spacing w:after="120" w:line="276"/>
        <w:ind w:firstLine="709"/>
        <w:jc w:val="both"/>
      </w:pPr>
      <w:r>
        <w:t xml:space="preserve">1.1. Соглашение определяет обмен сведениями о заключении, изменении и расторжении договоров о реализации туристского продукта, оформляемых Турагентом в рамках основного договора. Сведения используются для выполнения обязанностей по Правилам функционирования единой информационной системы электронных путёвок, утверждённым постановлением Правительства РФ от 18.03.2023 № 417.</w:t>
      </w:r>
    </w:p>
    <w:p>
      <w:pPr>
        <w:spacing w:after="120" w:line="276"/>
        <w:ind w:firstLine="709"/>
        <w:jc w:val="both"/>
      </w:pPr>
      <w:r>
        <w:t xml:space="preserve">1.2. Стороны учитывают пункт 20(1) Правил, введённый постановлением Правительства РФ от 21.10.2026 № 1396. Информирование через Госуслуги не заменяет надлежащего заключения или изменения договора с туристом либо заказчиком и не освобождает Стороны от собственных обязанностей по передаче сведений.</w:t>
      </w:r>
    </w:p>
    <w:p>
      <w:pPr>
        <w:spacing w:after="120" w:line="276"/>
        <w:ind w:firstLine="709"/>
        <w:jc w:val="both"/>
      </w:pPr>
      <w:r>
        <w:t xml:space="preserve">1.3. Установленные соглашением внутренние сроки применяются в пределах обязательных нормативных сроков. Если выполнение внутреннего срока не позволяет соблюсти более ранний обязательный срок, Стороны используют срочный порядок раздела 4.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Состав уведомления и исходные документы</w:t>
      </w:r>
    </w:p>
    <w:p>
      <w:pPr>
        <w:spacing w:after="120" w:line="276"/>
        <w:ind w:firstLine="709"/>
        <w:jc w:val="both"/>
      </w:pPr>
      <w:r>
        <w:t xml:space="preserve">2.1. Туроператор определяет форму уведомления согласно приложению № 1. Состав сведений соответствует применимым подпунктам «в» - «з» пункта 9 Правил № 417. Технический формат: [наименование формата, версия, перечень обязательных полей, способ фиксации схемы].</w:t>
      </w:r>
    </w:p>
    <w:p>
      <w:pPr>
        <w:spacing w:after="120" w:line="276"/>
        <w:ind w:firstLine="709"/>
        <w:jc w:val="both"/>
      </w:pPr>
      <w:r>
        <w:t xml:space="preserve">2.2. Уведомление содержит: сведения о Турагенте и его реестровом номере; номер и дату договора; число туристов; общую цену туристского продукта в рублях; сведения о заказчике; данные каждого туриста; программу, маршрут, условия перевозки и размещения; иные включённые услуги в объёме, предусмотренном Правилами.</w:t>
      </w:r>
    </w:p>
    <w:p>
      <w:pPr>
        <w:spacing w:after="120" w:line="276"/>
        <w:ind w:firstLine="709"/>
        <w:jc w:val="both"/>
      </w:pPr>
      <w:r>
        <w:t xml:space="preserve">2.3. Сведения о заказчике и туристах заполняются раздельно. Вид и реквизиты документа, удостоверяющего личность, указываются по относимому к соответствующему лицу документу. Для заказчика-организации передаются предусмотренные Правилами реквизиты юридического лица.</w:t>
      </w:r>
    </w:p>
    <w:p>
      <w:pPr>
        <w:spacing w:after="120" w:line="276"/>
        <w:ind w:firstLine="709"/>
        <w:jc w:val="both"/>
      </w:pPr>
      <w:r>
        <w:t xml:space="preserve">2.4. Основание сообщения обозначается отдельным полем: заключение договора, согласованное изменение, расторжение либо исправление ошибки. Указываются дата события и реквизиты подтверждающего документа. При изменении передаются изменённые значения и сведения, необходимые для однозначного сопоставления с ранее переданным договором.</w:t>
      </w:r>
    </w:p>
    <w:p>
      <w:pPr>
        <w:spacing w:after="120" w:line="276"/>
        <w:ind w:firstLine="709"/>
        <w:jc w:val="both"/>
      </w:pPr>
      <w:r>
        <w:t xml:space="preserve">2.5. Турагент до отправки сверяет сообщение с исходными документами. Туроператор проверяет полноту и согласованность полученного пакета. Проверка Туроператора не освобождает Турагента от обязанности передать достоверные сведения и не означает подтверждения обстоятельств, которые не могут быть проверены по представленным документам.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Каналы и подтверждение обмена</w:t>
      </w:r>
    </w:p>
    <w:p>
      <w:pPr>
        <w:spacing w:after="120" w:line="276"/>
        <w:ind w:firstLine="709"/>
        <w:jc w:val="both"/>
      </w:pPr>
      <w:r>
        <w:t xml:space="preserve">3.1. Основной канал: [система, адрес кабинета, идентификаторы участников]. Резервный канал: [конкретный защищённый способ, адреса и порядок подтверждения]. Направление на иные адреса допускается только после подтверждения уполномоченным получателем.</w:t>
      </w:r>
    </w:p>
    <w:p>
      <w:pPr>
        <w:spacing w:after="120" w:line="276"/>
        <w:ind w:firstLine="709"/>
        <w:jc w:val="both"/>
      </w:pPr>
      <w:r>
        <w:t xml:space="preserve">3.2. Уполномоченные лица и резервные контакты перечислены в приложении № 2. Изменение контакта сообщается в течение [срок] через основной канал с подтверждением получения. До подтверждения Сторона обеспечивает доступность ранее согласованного контакта либо заранее согласованный резерв.</w:t>
      </w:r>
    </w:p>
    <w:p>
      <w:pPr>
        <w:spacing w:after="120" w:line="276"/>
        <w:ind w:firstLine="709"/>
        <w:jc w:val="both"/>
      </w:pPr>
      <w:r>
        <w:t xml:space="preserve">3.3. Каждому сообщению присваивается идентификатор. Подтверждение получения содержит идентификатор, дату и время приёма, номер договора и статус обработки. Стороны различают техническую доставку и результат проверки полноты.</w:t>
      </w:r>
    </w:p>
    <w:p>
      <w:pPr>
        <w:spacing w:after="120" w:line="276"/>
        <w:ind w:firstLine="709"/>
        <w:jc w:val="both"/>
      </w:pPr>
      <w:r>
        <w:t xml:space="preserve">3.4. При отсутствии подтверждения в течение [внутренний срок] отправитель обращается к ответственному лицу получателя и повторяет передачу через резервный канал с пометкой о повторе. Дублирующее сообщение не должно приводить к созданию второй записи о том же договоре.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Сроки и срочные продажи</w:t>
      </w:r>
    </w:p>
    <w:p>
      <w:pPr>
        <w:spacing w:after="120" w:line="276"/>
        <w:ind w:firstLine="709"/>
        <w:jc w:val="both"/>
      </w:pPr>
      <w:r>
        <w:t xml:space="preserve">4.1. Турагент передаёт сведения в течение [согласованный внутренний срок] после заключения договора. В любом случае соблюдается пункт 17 Правил: пять рабочих дней со дня заключения, но не позднее 10-го числа месяца, следующего за истекшим календарным месяцем.</w:t>
      </w:r>
    </w:p>
    <w:p>
      <w:pPr>
        <w:spacing w:after="120" w:line="276"/>
        <w:ind w:firstLine="709"/>
        <w:jc w:val="both"/>
      </w:pPr>
      <w:r>
        <w:t xml:space="preserve">4.2. Туроператор передаёт необходимые сведения в информационную систему в срок, установленный пунктом 10 Правил: до 15-го числа следующего месяца, но не позднее даты начала путешествия. Внутренний контрольный срок: [срок с необходимым запасом для обработки].</w:t>
      </w:r>
    </w:p>
    <w:p>
      <w:pPr>
        <w:spacing w:after="120" w:line="276"/>
        <w:ind w:firstLine="709"/>
        <w:jc w:val="both"/>
      </w:pPr>
      <w:r>
        <w:t xml:space="preserve">4.3. Если до начала путешествия остаётся менее [согласованный интервал], Турагент использует срочный маршрут: [канал, ответственный, время реакции]. Передача производится в течение [интервал], позволяющего Туроператору соблюсти обязательный срок. Обычный срок пункта 4.1 не используется как основание задержки срочного сообщения.</w:t>
      </w:r>
    </w:p>
    <w:p>
      <w:pPr>
        <w:spacing w:after="120" w:line="276"/>
        <w:ind w:firstLine="709"/>
        <w:jc w:val="both"/>
      </w:pPr>
      <w:r>
        <w:t xml:space="preserve">4.4. Туроператор проверяет результат обработки. При неполноте сведений электронная путёвка не формируется; Стороны незамедлительно запускают исправление по разделу 5. Автоматическое формирование путёвки в срок не более 24 часов не подменяет контроль полноты исходного пакета.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Изменения и исправление ошибок</w:t>
      </w:r>
    </w:p>
    <w:p>
      <w:pPr>
        <w:spacing w:after="120" w:line="276"/>
        <w:ind w:firstLine="709"/>
        <w:jc w:val="both"/>
      </w:pPr>
      <w:r>
        <w:t xml:space="preserve">5.1. Сведения об изменении и расторжении договора Турагент направляет в порядке и сроки пунктов 17 и 18 Правил с соблюдением внутреннего срока [срок]. Туроператор вносит изменения в путёвку в срок пункта 15 Правил. Уникальный номер электронной путёвки при изменении сохраняется.</w:t>
      </w:r>
    </w:p>
    <w:p>
      <w:pPr>
        <w:spacing w:after="120" w:line="276"/>
        <w:ind w:firstLine="709"/>
        <w:jc w:val="both"/>
      </w:pPr>
      <w:r>
        <w:t xml:space="preserve">5.2. Сторона, обнаружившая расхождение, сообщает другой стороне идентификатор договора, спорное поле, прежнее и предполагаемое правильное значение, основание исправления и доступные подтверждения. Срок сообщения: [внутренний срок с момента обнаружения].</w:t>
      </w:r>
    </w:p>
    <w:p>
      <w:pPr>
        <w:spacing w:after="120" w:line="276"/>
        <w:ind w:firstLine="709"/>
        <w:jc w:val="both"/>
      </w:pPr>
      <w:r>
        <w:t xml:space="preserve">5.3. Если расхождение связано с изменением условий туристского продукта, перед корректировкой проверяется наличие надлежащего основания изменения договора. Внесение записи в систему и получение клиентом уведомления не рассматриваются Сторонами как самостоятельное доказательство его согласия.</w:t>
      </w:r>
    </w:p>
    <w:p>
      <w:pPr>
        <w:spacing w:after="120" w:line="276"/>
        <w:ind w:firstLine="709"/>
        <w:jc w:val="both"/>
      </w:pPr>
      <w:r>
        <w:t xml:space="preserve">5.4. Ответственный за исправление определяется по источнику ошибки: [порядок распределения]. Исправленный пакет передаётся с прежним идентификатором договора и отдельным номером версии. Получатель подтверждает принятие и результат обработки.</w:t>
      </w:r>
    </w:p>
    <w:p>
      <w:pPr>
        <w:spacing w:after="120" w:line="276"/>
        <w:ind w:firstLine="709"/>
        <w:jc w:val="both"/>
      </w:pPr>
      <w:r>
        <w:t xml:space="preserve">5.5. Стороны ведут журнал исправлений: дата, причина, изменённое поле, документ-основание, исполнитель, номер версии и результат. Первоначальные сведения сохраняются в установленном порядке для проверки истории, с ограничением доступа и соблюдением требований к срокам хранения.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Сбой и резервный порядок</w:t>
      </w:r>
    </w:p>
    <w:p>
      <w:pPr>
        <w:spacing w:after="120" w:line="276"/>
        <w:ind w:firstLine="709"/>
        <w:jc w:val="both"/>
      </w:pPr>
      <w:r>
        <w:t xml:space="preserve">6.1. При сбое фиксируются время начала, признаки ошибки, затронутые сообщения и обращение в поддержку. Сторона уведомляет другую в течение [срок] и использует согласованный резервный канал, если он позволяет выполнить соответствующее действие.</w:t>
      </w:r>
    </w:p>
    <w:p>
      <w:pPr>
        <w:spacing w:after="120" w:line="276"/>
        <w:ind w:firstLine="709"/>
        <w:jc w:val="both"/>
      </w:pPr>
      <w:r>
        <w:t xml:space="preserve">6.2. Само уведомление о сбое не считается исполнением обязанности передать сведения. После восстановления обмена проводится сверка: исключаются дубли, проверяется полнота обработки и восстанавливается связь сообщений с договорами.</w:t>
      </w:r>
    </w:p>
    <w:p>
      <w:pPr>
        <w:spacing w:after="120" w:line="276"/>
        <w:ind w:firstLine="709"/>
        <w:jc w:val="both"/>
      </w:pPr>
      <w:r>
        <w:t xml:space="preserve">6.3. Последствия сбоя оцениваются с учётом его причины, доступных способов исполнения и предпринятых действий. Соглашение не устанавливает автоматического освобождения от ответственности за любой технический инцидент.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Данные, обращения клиентов и ответственность</w:t>
      </w:r>
    </w:p>
    <w:p>
      <w:pPr>
        <w:spacing w:after="120" w:line="276"/>
        <w:ind w:firstLine="709"/>
        <w:jc w:val="both"/>
      </w:pPr>
      <w:r>
        <w:t xml:space="preserve">7.1. Стороны передают сведения только через согласованные каналы и предоставляют доступ уполномоченным лицам. Персональные данные обрабатываются при наличии применимого правового основания и в объёме, необходимом для исполнения обязанностей. Избыточные копии документов не направляются без установленной необходимости.</w:t>
      </w:r>
    </w:p>
    <w:p>
      <w:pPr>
        <w:spacing w:after="120" w:line="276"/>
        <w:ind w:firstLine="709"/>
        <w:jc w:val="both"/>
      </w:pPr>
      <w:r>
        <w:t xml:space="preserve">7.2. Обращение туриста о расхождении регистрируется и направляется ответственному лицу после проверки полномочий заявителя. Ответ клиенту должен отражать установленный результат сверки. Исправление сведений не подменяет рассмотрение самостоятельной претензии о качестве услуг или денежных требованиях.</w:t>
      </w:r>
    </w:p>
    <w:p>
      <w:pPr>
        <w:spacing w:after="120" w:line="276"/>
        <w:ind w:firstLine="709"/>
        <w:jc w:val="both"/>
      </w:pPr>
      <w:r>
        <w:t xml:space="preserve">7.3. Отказ туриста от уведомлений через Госуслуги не прекращает обмен Сторон и внесение обязательных сведений. Стороны не требуют от клиента передачи пароля, кода доступа или иных средств входа в его личный кабинет.</w:t>
      </w:r>
    </w:p>
    <w:p>
      <w:pPr>
        <w:spacing w:after="120" w:line="276"/>
        <w:ind w:firstLine="709"/>
        <w:jc w:val="both"/>
      </w:pPr>
      <w:r>
        <w:t xml:space="preserve">7.4. Ответственность между Сторонами определяется законом и основным договором с учётом доказанного нарушения, причинной связи и последствий. Сторона, заявляющая требование, предоставляет документы, позволяющие проверить соответствующий эпизод и размер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Заключительные положения</w:t>
      </w:r>
    </w:p>
    <w:p>
      <w:pPr>
        <w:spacing w:after="120" w:line="276"/>
        <w:ind w:firstLine="709"/>
        <w:jc w:val="both"/>
      </w:pPr>
      <w:r>
        <w:t xml:space="preserve">8.1. Соглашение вступает в силу [дата]. Приложения № 1 и № 2 являются его неотъемлемыми частями и заполняются до подписания. Изменение формата и каналов согласуется в порядке [порядок] с фиксацией даты применения новой версии.</w:t>
      </w:r>
    </w:p>
    <w:p>
      <w:pPr>
        <w:spacing w:after="120" w:line="276"/>
        <w:ind w:firstLine="709"/>
        <w:jc w:val="both"/>
      </w:pPr>
      <w:r>
        <w:t xml:space="preserve">8.2. Остальные условия основного договора сохраняются. Противоречие договорного условия обязательным правилам не освобождает Стороны от исполнения закона.</w:t>
      </w:r>
    </w:p>
    <w:p>
      <w:pPr>
        <w:spacing w:after="120" w:line="276"/>
        <w:ind w:firstLine="709"/>
        <w:jc w:val="both"/>
      </w:pPr>
      <w:r>
        <w:t xml:space="preserve">Туроператор: [реквизиты, подписант, подпись]</w:t>
      </w:r>
    </w:p>
    <w:p>
      <w:pPr>
        <w:spacing w:after="120" w:line="276"/>
        <w:ind w:firstLine="709"/>
        <w:jc w:val="both"/>
      </w:pPr>
      <w:r>
        <w:t xml:space="preserve">Турагент: [реквизиты, подписант, подпись]</w:t>
      </w:r>
    </w:p>
    <w:p>
      <w:pPr>
        <w:spacing w:after="120" w:line="276"/>
        <w:ind w:firstLine="709"/>
        <w:jc w:val="both"/>
      </w:pPr>
      <w:r>
        <w:t xml:space="preserve">Приложение № 1: [утверждённая форма уведомления и техническая схема полей с версией].</w:t>
      </w:r>
    </w:p>
    <w:p>
      <w:pPr>
        <w:spacing w:after="120" w:line="276"/>
        <w:ind w:firstLine="709"/>
        <w:jc w:val="both"/>
      </w:pPr>
      <w:r>
        <w:t xml:space="preserve">Приложение № 2: [основные и резервные контакты, полномочия, график и порядок срочного взаимодействия].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2026-11-06T22:22:42.382Z</dcterms:created>
  <dcterms:modified xsi:type="dcterms:W3CDTF">2026-11-06T22:22:42.382Z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