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[полное наименование страховой организации]</w:t>
      </w:r>
    </w:p>
    <w:p>
      <w:pPr>
        <w:spacing w:after="0"/>
        <w:jc w:val="right"/>
      </w:pPr>
      <w:r>
        <w:t xml:space="preserve">[Адрес, согласованный электронный адрес]</w:t>
      </w:r>
    </w:p>
    <w:p>
      <w:pPr>
        <w:spacing w:after="0"/>
        <w:jc w:val="right"/>
      </w:pPr>
      <w:r>
        <w:t xml:space="preserve">От [полное наименование организации-страхователя]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Представитель: [ФИО, должность, основание полномочий]</w:t>
      </w:r>
    </w:p>
    <w:p>
      <w:pPr>
        <w:spacing w:after="0"/>
        <w:jc w:val="right"/>
      </w:pPr>
      <w:r>
        <w:t xml:space="preserve">Контакт для ответа: [адрес, телефон, электронная почта]</w:t>
      </w:r>
    </w:p>
    <w:p>
      <w:pPr>
        <w:spacing w:after="0"/>
        <w:jc w:val="right"/>
      </w:pPr>
      <w:r>
        <w:t xml:space="preserve">Исходящий № [номер]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на расчёт страховой премии по договору обязательного страхования ответственности владельца опасного объекта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обращения и документы, представленные для расчёта</w:t>
      </w:r>
    </w:p>
    <w:p>
      <w:pPr>
        <w:spacing w:after="120" w:line="276"/>
        <w:ind w:firstLine="709"/>
        <w:jc w:val="both"/>
      </w:pPr>
      <w:r>
        <w:t xml:space="preserve">[Наименование страхователя] направило в [наименование страховщика] заявление от [дата] № [номер] о заключении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объекте.</w:t>
      </w:r>
    </w:p>
    <w:p>
      <w:pPr>
        <w:spacing w:after="120" w:line="276"/>
        <w:ind w:firstLine="709"/>
        <w:jc w:val="both"/>
      </w:pPr>
      <w:r>
        <w:t xml:space="preserve">Предлагаемый период страхования: с [дата] по [дата]. Наименование объекта: [полное типовое наименование]. Регистрационный номер: [номер]. Место нахождения: [адрес]. Основание владения объектом: [документ, реквизиты].</w:t>
      </w:r>
    </w:p>
    <w:p>
      <w:pPr>
        <w:spacing w:after="120" w:line="276"/>
        <w:ind w:firstLine="709"/>
        <w:jc w:val="both"/>
      </w:pPr>
      <w:r>
        <w:t xml:space="preserve">Документы для определения условий страхования переданы [дата] способом [способ передачи], что подтверждается [регистрационное подтверждение, опись, сведения электронного обмена]. Состав представленного комплекта указан в приложении № [номер] к настоящему письму. Дополнительные документы направлены [дата] сопроводительным письмом № [номер].</w:t>
      </w:r>
    </w:p>
    <w:p>
      <w:pPr>
        <w:spacing w:after="120" w:line="276"/>
        <w:ind w:firstLine="709"/>
        <w:jc w:val="both"/>
      </w:pPr>
      <w:r>
        <w:t xml:space="preserve">В представленном Вами расчёте от [дата] № [номер, версия] указана страховая премия [сумма] рублей при страховой сумме [сумма] рублей. Расчёт содержит следующие исходные показатели: приложение [номер], таблица [номер], строка [номер], базовая ставка [значение]%, коэффициент по части 8 статьи 7 Закона № 225-ФЗ [значение], дополнительный коэффициент по части 9 указанной статьи [значение].</w:t>
      </w:r>
    </w:p>
    <w:p>
      <w:pPr>
        <w:spacing w:after="120" w:line="276"/>
        <w:ind w:firstLine="709"/>
        <w:jc w:val="both"/>
      </w:pPr>
      <w:r>
        <w:t xml:space="preserve">Настоящие возражения направляются в рамках согласования нового договора. Их предметом являются определение применимой тарифной категории, проверка исходных данных и арифметики предложенного расчёта.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Регистрационная история и применимое приложение</w:t>
      </w:r>
    </w:p>
    <w:p>
      <w:pPr>
        <w:spacing w:after="120" w:line="276"/>
        <w:ind w:firstLine="709"/>
        <w:jc w:val="both"/>
      </w:pPr>
      <w:r>
        <w:t xml:space="preserve">Согласно [наименование регистрационного документа, дата, номер] объект зарегистрирован в государственном реестре опасных производственных объектов [дата]. Сведения об изменениях, имеющих значение для выбора приложения: [даты, содержание изменений, подтверждающие документы].</w:t>
      </w:r>
    </w:p>
    <w:p>
      <w:pPr>
        <w:spacing w:after="120" w:line="276"/>
        <w:ind w:firstLine="709"/>
        <w:jc w:val="both"/>
      </w:pPr>
      <w:r>
        <w:t xml:space="preserve">Регистрационная история за период с 1 января по 8 мая 2018 года подтверждается [документы и конкретные сведения]. Последующий документ от [дата] № [номер] отражает [содержание события], что следует из [ссылка на документ, раздел, страницу]. Соотношение прежнего и действующего регистрационных номеров подтверждено [документ].</w:t>
      </w:r>
    </w:p>
    <w:p>
      <w:pPr>
        <w:spacing w:after="120" w:line="276"/>
        <w:ind w:firstLine="709"/>
        <w:jc w:val="both"/>
      </w:pPr>
      <w:r>
        <w:t xml:space="preserve">Пункт 3 Указания Банка России от 01.09.2026 № 7434-У разграничивает применение приложений 1 и 2 по установленным в нём условиям регистрации объекта либо внесения изменений в государственный реестр. На основании приведённых документов к рассматриваемому объекту применяется приложение [номер], поскольку [конкретное подтверждённое обстоятельство, соответствующее условию нормы].</w:t>
      </w:r>
    </w:p>
    <w:p>
      <w:pPr>
        <w:spacing w:after="120" w:line="276"/>
        <w:ind w:firstLine="709"/>
        <w:jc w:val="both"/>
      </w:pPr>
      <w:r>
        <w:t xml:space="preserve">В Вашем расчёте применено приложение [номер]. Расхождение состоит в следующем: [описать противоречие между использованными исходными данными и подтверждённой регистрационной историей]. Соответствующая запись в [документ, страница] не позволяет принять использованную в расчёте предпосылку о [указать предпосылку].</w:t>
      </w:r>
    </w:p>
    <w:p>
      <w:pPr>
        <w:spacing w:after="120" w:line="276"/>
        <w:ind w:firstLine="709"/>
        <w:jc w:val="both"/>
      </w:pPr>
      <w:r>
        <w:t xml:space="preserve">Просим учесть указанные сведения при определении тарифной категории. Если Вы исходите из иной регистрационной истории, просим указать конкретные сведения, источник их получения и значение для применения пункта 3 Указания.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Типовое наименование и строка тарифной таблицы</w:t>
      </w:r>
    </w:p>
    <w:p>
      <w:pPr>
        <w:spacing w:after="120" w:line="276"/>
        <w:ind w:firstLine="709"/>
        <w:jc w:val="both"/>
      </w:pPr>
      <w:r>
        <w:t xml:space="preserve">Типовое наименование объекта в регистрационных документах: [наименование]. Существенные для тарифной классификации технические и конструктивные характеристики: [перечислить характеристики со ссылками на документы].</w:t>
      </w:r>
    </w:p>
    <w:p>
      <w:pPr>
        <w:spacing w:after="120" w:line="276"/>
        <w:ind w:firstLine="709"/>
        <w:jc w:val="both"/>
      </w:pPr>
      <w:r>
        <w:t xml:space="preserve">С учётом этих сведений применима строка [номер] таблицы [номер] приложения [номер] Указания № 7434-У, предусматривающая [наименование группы]. Установленные по этой строке годовые базовые ставки составляют от [минимальное значение]% до [максимальное значение]% страховой суммы.</w:t>
      </w:r>
    </w:p>
    <w:p>
      <w:pPr>
        <w:spacing w:after="120" w:line="276"/>
        <w:ind w:firstLine="709"/>
        <w:jc w:val="both"/>
      </w:pPr>
      <w:r>
        <w:t xml:space="preserve">Указанная в Вашем предложении строка [номер] характеризуется [существенное отличие]. Документ [наименование, реквизиты] подтверждает [обстоятельство], вследствие чего применение этой строки к нашему объекту требует пересмотра. При наличии иной оценки просим пояснить, как учитываются приведённые характеристики и какое положение таблицы обосновывает Ваш вывод.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Проверка ставки и составляющих премии</w:t>
      </w:r>
    </w:p>
    <w:p>
      <w:pPr>
        <w:spacing w:after="120" w:line="276"/>
        <w:ind w:firstLine="709"/>
        <w:jc w:val="both"/>
      </w:pPr>
      <w:r>
        <w:t xml:space="preserve">По пункту 2 Указания № 7434-У страховщик определяет базовую ставку самостоятельно в пределах установленных значений на основании анализа технических и конструктивных характеристик объекта. Страхователь не отождествляет нижнюю границу диапазона с обязательной ставкой по каждому договору.</w:t>
      </w:r>
    </w:p>
    <w:p>
      <w:pPr>
        <w:spacing w:after="120" w:line="276"/>
        <w:ind w:firstLine="709"/>
        <w:jc w:val="both"/>
      </w:pPr>
      <w:r>
        <w:t xml:space="preserve">Вместе с тем выбор ставки должен производиться в пределах применимой к объекту строки. Просим при уточнении расчёта отдельно указать базовую ставку в процентах от страховой суммы и её соотношение с соответствующими минимальным и максимальным значениями.</w:t>
      </w:r>
    </w:p>
    <w:p>
      <w:pPr>
        <w:spacing w:after="120" w:line="276"/>
        <w:ind w:firstLine="709"/>
        <w:jc w:val="both"/>
      </w:pPr>
      <w:r>
        <w:t xml:space="preserve">Пунктом 4 Указания коэффициент, предусмотренный частью 8 статьи 7 Федерального закона от 27.07.2010 № 225-ФЗ, установлен равным единице. Просим отразить этот показатель отдельно от дополнительного понижающего коэффициента, предусмотренного частью 9 указанной статьи.</w:t>
      </w:r>
    </w:p>
    <w:p>
      <w:pPr>
        <w:spacing w:after="120" w:line="276"/>
        <w:ind w:firstLine="709"/>
        <w:jc w:val="both"/>
      </w:pPr>
      <w:r>
        <w:t xml:space="preserve">Сверка представленной арифметики по использованным Вами значениям даёт следующий результат: [страховая сумма] × [базовая ставка в долях единицы] × [коэффициент по части 8] × [дополнительный коэффициент] = [сумма] рублей. Сопоставление с итогом Вашего предложения отражено в прилагаемой сверке. Само совпадение арифметического результата с указанной суммой не устраняет возражений против выбранной тарифной категории.</w:t>
      </w:r>
    </w:p>
    <w:p>
      <w:pPr>
        <w:spacing w:after="120" w:line="276"/>
        <w:ind w:firstLine="709"/>
        <w:jc w:val="both"/>
      </w:pPr>
      <w:r>
        <w:t xml:space="preserve">Окончательный альтернативный размер премии может быть определён после уточнения применимой строки и выбранной Вами ставки. Приведённая арифметическая сверка не означает согласия страхователя с оспариваемой тарифной классификацией.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Дополнительная оценка уровня безопасности</w:t>
      </w:r>
    </w:p>
    <w:p>
      <w:pPr>
        <w:spacing w:after="120" w:line="276"/>
        <w:ind w:firstLine="709"/>
        <w:jc w:val="both"/>
      </w:pPr>
      <w:r>
        <w:t xml:space="preserve">Для оценки возможности применения дополнительного понижающего коэффициента направляем [перечень документов]. Они подтверждают [конкретные меры, состояние оборудования, готовность к предупреждению и локализации аварии].</w:t>
      </w:r>
    </w:p>
    <w:p>
      <w:pPr>
        <w:spacing w:after="120" w:line="276"/>
        <w:ind w:firstLine="709"/>
        <w:jc w:val="both"/>
      </w:pPr>
      <w:r>
        <w:t xml:space="preserve">Просим оценить эти сведения в рамках частей 9 и 10 статьи 7 Закона № 225-ФЗ. Предложение страхователя по значению дополнительного коэффициента: [значение в установленном диапазоне], обоснование: [связь документов с характеристиками безопасности].</w:t>
      </w:r>
    </w:p>
    <w:p>
      <w:pPr>
        <w:spacing w:after="120" w:line="276"/>
        <w:ind w:firstLine="709"/>
        <w:jc w:val="both"/>
      </w:pPr>
      <w:r>
        <w:t xml:space="preserve">Данная просьба самостоятельна по отношению к исправлению тарифной классификации и арифметики. Просим дать по ней отдельный ответ, чтобы решение о дополнительном коэффициенте не подменяло рассмотрение остальных возражений.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Просьбы страхователя</w:t>
      </w:r>
    </w:p>
    <w:p>
      <w:pPr>
        <w:spacing w:after="120" w:line="276"/>
        <w:ind w:firstLine="709"/>
        <w:jc w:val="both"/>
      </w:pPr>
      <w:r>
        <w:t xml:space="preserve">На основании статьи 7, пункта 2 части 2 статьи 12 Закона № 225-ФЗ, пунктов 2-4 Указания № 7434-У просим:</w:t>
      </w:r>
    </w:p>
    <w:p>
      <w:pPr>
        <w:spacing w:after="120" w:line="276"/>
        <w:ind w:left="360" w:hanging="360"/>
        <w:jc w:val="both"/>
      </w:pPr>
      <w:r>
        <w:t xml:space="preserve">1. Рассмотреть приведённые возражения и прилагаемые документы о регистрационной истории и технических характеристиках объекта.</w:t>
      </w:r>
    </w:p>
    <w:p>
      <w:pPr>
        <w:spacing w:after="120" w:line="276"/>
        <w:ind w:left="360" w:hanging="360"/>
        <w:jc w:val="both"/>
      </w:pPr>
      <w:r>
        <w:t xml:space="preserve">2. Подтвердить применимые приложение, таблицу и строку тарифов либо исправить их с учётом указанных расхождений.</w:t>
      </w:r>
    </w:p>
    <w:p>
      <w:pPr>
        <w:spacing w:after="120" w:line="276"/>
        <w:ind w:left="360" w:hanging="360"/>
        <w:jc w:val="both"/>
      </w:pPr>
      <w:r>
        <w:t xml:space="preserve">3. Направить уточнённый расчёт с раздельным указанием страховой суммы, базовой ставки, каждого коэффициента и итоговой премии.</w:t>
      </w:r>
    </w:p>
    <w:p>
      <w:pPr>
        <w:spacing w:after="120" w:line="276"/>
        <w:ind w:left="360" w:hanging="360"/>
        <w:jc w:val="both"/>
      </w:pPr>
      <w:r>
        <w:t xml:space="preserve">4. При сохранении прежней классификации объяснить фактические и нормативные основания отклонения каждого существенного довода.</w:t>
      </w:r>
    </w:p>
    <w:p>
      <w:pPr>
        <w:spacing w:after="120" w:line="276"/>
        <w:ind w:left="360" w:hanging="360"/>
        <w:jc w:val="both"/>
      </w:pPr>
      <w:r>
        <w:t xml:space="preserve">5. Отдельно сообщить результат рассмотрения предложения о дополнительном понижающем коэффициенте.</w:t>
      </w:r>
    </w:p>
    <w:p>
      <w:pPr>
        <w:spacing w:after="120" w:line="276"/>
        <w:ind w:left="360" w:hanging="360"/>
        <w:jc w:val="both"/>
      </w:pPr>
      <w:r>
        <w:t xml:space="preserve">6. Сообщить, какие дополнительные документы необходимы для анализа характеристик, если представленный комплект не позволяет завершить его, и пояснить связь запрашиваемых сведений с расчётом.</w:t>
      </w:r>
    </w:p>
    <w:p>
      <w:pPr>
        <w:spacing w:after="120" w:line="276"/>
        <w:ind w:firstLine="709"/>
        <w:jc w:val="both"/>
      </w:pPr>
      <w:r>
        <w:t xml:space="preserve">С учётом срока согласования нового полиса предлагаем направить ответ до [дата] по адресу [адрес]. Указанная дата предложена для организации переговоров. Просим также подтвердить дату получения комплекта документов, от которой исчисляется срок анализа по пункту 2 Указания № 7434-У.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Приложения</w:t>
      </w:r>
    </w:p>
    <w:p>
      <w:pPr>
        <w:spacing w:after="120" w:line="276"/>
        <w:ind w:left="360" w:hanging="360"/>
        <w:jc w:val="both"/>
      </w:pPr>
      <w:r>
        <w:t xml:space="preserve">1. Заявление о заключении договора и подтверждение передачи документов.</w:t>
      </w:r>
    </w:p>
    <w:p>
      <w:pPr>
        <w:spacing w:after="120" w:line="276"/>
        <w:ind w:left="360" w:hanging="360"/>
        <w:jc w:val="both"/>
      </w:pPr>
      <w:r>
        <w:t xml:space="preserve">2. Расчёт страховщика от [дата] № [номер].</w:t>
      </w:r>
    </w:p>
    <w:p>
      <w:pPr>
        <w:spacing w:after="120" w:line="276"/>
        <w:ind w:left="360" w:hanging="360"/>
        <w:jc w:val="both"/>
      </w:pPr>
      <w:r>
        <w:t xml:space="preserve">3. Регистрационные документы объекта и сведения об относимых изменениях.</w:t>
      </w:r>
    </w:p>
    <w:p>
      <w:pPr>
        <w:spacing w:after="120" w:line="276"/>
        <w:ind w:left="360" w:hanging="360"/>
        <w:jc w:val="both"/>
      </w:pPr>
      <w:r>
        <w:t xml:space="preserve">4. Технические документы по спорным характеристикам, [перечень].</w:t>
      </w:r>
    </w:p>
    <w:p>
      <w:pPr>
        <w:spacing w:after="120" w:line="276"/>
        <w:ind w:left="360" w:hanging="360"/>
        <w:jc w:val="both"/>
      </w:pPr>
      <w:r>
        <w:t xml:space="preserve">5. Сверка арифметики расчёта.</w:t>
      </w:r>
    </w:p>
    <w:p>
      <w:pPr>
        <w:spacing w:after="120" w:line="276"/>
        <w:ind w:left="360" w:hanging="360"/>
        <w:jc w:val="both"/>
      </w:pPr>
      <w:r>
        <w:t xml:space="preserve">6. Документы о мероприятиях и характеристиках безопасности.</w:t>
      </w:r>
    </w:p>
    <w:p>
      <w:pPr>
        <w:spacing w:after="120" w:line="276"/>
        <w:ind w:left="360" w:hanging="360"/>
        <w:jc w:val="both"/>
      </w:pPr>
      <w:r>
        <w:t xml:space="preserve">7. Документ о полномочиях подписанта.</w:t>
      </w:r>
    </w:p>
    <w:p>
      <w:pPr>
        <w:spacing w:after="120" w:line="276"/>
        <w:ind w:left="360" w:hanging="360"/>
        <w:jc w:val="both"/>
      </w:pPr>
      <w:r>
        <w:t xml:space="preserve">8. Опись приложений с наименованиями, датами и количеством листов.</w:t>
      </w:r>
    </w:p>
    <w:p>
      <w:pPr>
        <w:spacing w:after="120" w:line="276"/>
        <w:ind w:firstLine="709"/>
        <w:jc w:val="both"/>
      </w:pPr>
      <w:r>
        <w:t xml:space="preserve">[Должность уполномоченного лица]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2026-11-06T22:22:48.117Z</dcterms:created>
  <dcterms:modified xsi:type="dcterms:W3CDTF">2026-11-06T22:22:48.117Z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