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"/>
        <w:bidi w:val="0"/>
        <w:ind w:left="0" w:right="0" w:hanging="0"/>
        <w:jc w:val="center"/>
        <w:rPr/>
      </w:pPr>
      <w:r>
        <w:rPr/>
        <w:t>МИНИСТЕРСТВО ЗДРАВООХРАНЕНИЯ РОССИЙСКОЙ ФЕДЕРАЦИИ</w:t>
      </w:r>
    </w:p>
    <w:p>
      <w:pPr>
        <w:pStyle w:val="ConsPlusTitle"/>
        <w:numPr>
          <w:ilvl w:val="0"/>
          <w:numId w:val="0"/>
        </w:numPr>
        <w:bidi w:val="0"/>
        <w:ind w:left="0" w:right="0" w:hanging="0"/>
        <w:jc w:val="center"/>
        <w:outlineLvl w:val="0"/>
        <w:rPr/>
      </w:pPr>
      <w:r>
        <w:rPr/>
      </w:r>
    </w:p>
    <w:p>
      <w:pPr>
        <w:pStyle w:val="ConsPlusTitle"/>
        <w:bidi w:val="0"/>
        <w:ind w:left="0" w:right="0" w:hanging="0"/>
        <w:jc w:val="center"/>
        <w:rPr/>
      </w:pPr>
      <w:r>
        <w:rPr/>
        <w:t>ПАМЯТКА</w:t>
      </w:r>
    </w:p>
    <w:p>
      <w:pPr>
        <w:pStyle w:val="ConsPlusTitle"/>
        <w:bidi w:val="0"/>
        <w:ind w:left="0" w:right="0" w:hanging="0"/>
        <w:jc w:val="center"/>
        <w:rPr/>
      </w:pPr>
      <w:r>
        <w:rPr/>
        <w:t>ДЛЯ ГРАЖДАН О ГАРАНТИЯХ БЕСПЛАТНОГО ОКАЗАНИЯ</w:t>
      </w:r>
    </w:p>
    <w:p>
      <w:pPr>
        <w:pStyle w:val="ConsPlusTitle"/>
        <w:bidi w:val="0"/>
        <w:ind w:left="0" w:right="0" w:hanging="0"/>
        <w:jc w:val="center"/>
        <w:rPr/>
      </w:pPr>
      <w:r>
        <w:rPr/>
        <w:t>МЕДИЦИНСКОЙ ПОМОЩИ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Normal"/>
        <w:bidi w:val="0"/>
        <w:ind w:left="0" w:right="0" w:firstLine="540"/>
        <w:jc w:val="both"/>
        <w:rPr/>
      </w:pPr>
      <w:r>
        <w:rPr/>
        <w:t xml:space="preserve">В соответствии со </w:t>
      </w:r>
      <w:hyperlink r:id="rId2">
        <w:r>
          <w:rPr>
            <w:color w:val="0000FF"/>
          </w:rPr>
          <w:t>статьей 41.1</w:t>
        </w:r>
      </w:hyperlink>
      <w:r>
        <w:rPr/>
        <w:t xml:space="preserve"> Конституции Российской Федерации каждый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В целях обеспечения конституционных прав граждан Российской Федерации на бесплатное оказание медицинской помощи Правительство Российской Федерации ежегодно утверждает Программу государственных гарантий бесплатного оказания гражданам медицинской помощи (далее - Программа), в соответствии с которой каждый гражданин имеет право на охрану здоровья и бесплатную медицинскую помощь, оказываемую в гарантированном объеме без взимания платы.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Основными государственными источниками финансирования Программы являются средства системы обязательного медицинского страхования и бюджетные средства.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На основе 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left="0" w:right="0" w:firstLine="540"/>
        <w:jc w:val="both"/>
        <w:outlineLvl w:val="0"/>
        <w:rPr/>
      </w:pPr>
      <w:r>
        <w:rPr/>
        <w:t>1. Какие виды медицинской помощи Вам оказываются бесплатно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Normal"/>
        <w:bidi w:val="0"/>
        <w:ind w:left="0" w:right="0" w:firstLine="540"/>
        <w:jc w:val="both"/>
        <w:rPr/>
      </w:pPr>
      <w:r>
        <w:rPr/>
        <w:t>В рамках Программы бесплатно предоставляются: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1. Первичная медико-санитарная помощь в амбулаторных условиях и условиях дневного стационара в плановой и неотложной формах, включающая: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первичную доврачебную помощь, которая оказывается фельдшерами, акушерами и другими медицинскими работниками со средним медицинским образованием;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первичную врачебную помощь, которая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первичную специализированную медицинскую помощь, которая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2. Специализированная медицинская помощь, которая оказывается в стационарных условиях и в условиях дневного стационара врачами-специалистами и включает в себя профилактику, диагностику и лечение заболеваний и состояний, в том числе в период беременности, родов и послеродовой период, требующих использования специальных методов и сложных медицинских технологий, а также медицинскую реабилитацию.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3. Высокотехнологичная медицинская помощь с применением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в приложении к Программе.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4. Скорая, в том числе скорая специализированная, медицинская помощь, которая оказывается гражданам в экстренной или неотложной форме вне медицинской организации, а также в амбулаторных и стационарных условиях государственными и муниципальными медицинскими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Для избавления от боли и облегчения других тяжелых проявлений заболевания, в целях улучшения качества жизни неизлечимо больных пациентов гражданам предоставляется паллиативная медицинская помощь в амбулаторных и стационарных условиях.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Вышеуказанные виды медицинской помощи включают бесплатное проведение: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экстракорпорального оплодотворения (ЭКО);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различных видов диализа;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химиотерапии при злокачественных заболеваниях;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профилактических мероприятий;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медицинской реабилитации, осуществляемой в медицинских организациях и включающей в себя комплексное применение природных лечебных факторов, лекарственной, немедикаментозной терапии;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В случае наличия у пациента факторов, ограничивающих возможность получения медицинской реабилитации в амбулаторных условиях и условиях дневного стационара, включая случаи проживания пациента в отдаленном от медицинской организации населенном пункте, ограничения в передвижении, медицинская организация, к которой прикреплен пациент для получения первичной медико-санитарной помощи, организует ему прохождение медицинской реабилитации на дому (далее - медицинская реабилитация на дому).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При организации медицинской реабилитации на дому на период лечения пациенту могут предоставляться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заболеванию.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Вместе с тем, гражданин имеет право не реже одного раза в год на бесплатный профилактический медицинский осмотр, в том числе в рамках диспансеризации.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Граждане проходят диспансеризацию бесплатно в медицинской организации, в которой они получают первичную медико-санитарную помощь. Большинство мероприятий в рамках диспансеризации проводятся 1 раз в 3 года, за исключением маммографии для женщин в возрасте от 51 до 69 лет и исследования кала на скрытую кровь для граждан от 49 до 73 лет, которые проводятся 1 раз в 2 года;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Кроме того, Программой гарантируется проведение: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пренатальной (дородовой) диагностики нарушений развития ребенка у беременных женщин;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аудиологического скрининга у новорожденных детей и детей первого года жизни;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неонатального скрининга на 5 наследственных и врожденных заболеваний у новорожденных детей;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расширенного неонатального скрининга у новорожденных детей.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Граждане обеспечиваются лекарственными препаратами в соответствии с Программой.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left="0" w:right="0" w:firstLine="540"/>
        <w:jc w:val="both"/>
        <w:outlineLvl w:val="0"/>
        <w:rPr/>
      </w:pPr>
      <w:r>
        <w:rPr/>
        <w:t>2. Каковы предельные сроки ожидания Вами медицинской помощи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Normal"/>
        <w:bidi w:val="0"/>
        <w:ind w:left="0" w:right="0" w:firstLine="540"/>
        <w:jc w:val="both"/>
        <w:rPr/>
      </w:pPr>
      <w:r>
        <w:rPr/>
        <w:t>Медицинская помощь оказывается гражданам в трех формах - экстренная, неотложная и плановая.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Экстренная форма предусматривает оказание медицинской помощи при внезапных острых заболеваниях, состояниях, обострении хронических заболеваний, представляющих угрозу жизни пациента. При этом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Неотложная форма предусматривает оказание медицинской помощи при внезапных острых заболеваниях, состояниях, обострении хронических заболеваний без явных признаков угрозы жизни пациента.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В зависимости от этих форм Правительством Российской Федерации устанавливаются предельные сроки ожидания медицинской помощи.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Сроки ожидания оказания медицинской помощи в плановой форме для: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медицинскую организацию;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14 рабочих дней со дня назначения;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Для пациентов с подозрением на онкологическое заболевание сроки ожидания оказания медицинской помощи для: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проведения консультаций врачей-специалистов не должны превышать 3 рабочих дня;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проведения диагностических инструментальных и лабораторных исследований не должны превышать 7 рабочих дней со дня назначения исследований;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7 рабочих дней с момента установления предварительного или уточненного диагноза заболевания (состояния).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При этом, срок установления диспансерного наблюдения врача-онколога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При этом в территориальных программах время доезда бригад скорой медицинской помощи может 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left="0" w:right="0" w:firstLine="540"/>
        <w:jc w:val="both"/>
        <w:outlineLvl w:val="0"/>
        <w:rPr/>
      </w:pPr>
      <w:r>
        <w:rPr/>
        <w:t>3. За что Вы не должны платить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Normal"/>
        <w:bidi w:val="0"/>
        <w:ind w:left="0" w:right="0" w:firstLine="540"/>
        <w:jc w:val="both"/>
        <w:rPr/>
      </w:pPr>
      <w:r>
        <w:rPr/>
        <w:t>В соответствии с законодательством Российской Федерации в сфере охраны здоровья граждан при оказании медицинской помощи в рамках Программы и территориальных программ не подлежат оплате за счет личных средств граждан: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оказание медицинских услуг;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а) включенных в перечень жизненно необходимых и важнейших лекарственных препаратов;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б) не входящих в перечень жизненно необходимых и важнейших лекарственных препаратов, в случаях их замены из-за индивидуальной непереносимости, по жизненным показаниям;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размещение в маломестных палатах (боксах) пациентов по медицинским и (или) эпидемиологическим показаниям;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для детей в возрасте до четырех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организации, а для ребенка старше указанного возраста - при наличии медицинских показаний;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ему диагностических исследований при отсутствии возможности их проведения медицинской организацией, оказывающей медицинскую помощь.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left="0" w:right="0" w:firstLine="540"/>
        <w:jc w:val="both"/>
        <w:outlineLvl w:val="0"/>
        <w:rPr/>
      </w:pPr>
      <w:r>
        <w:rPr/>
        <w:t>4. О платных медицинских услугах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Normal"/>
        <w:bidi w:val="0"/>
        <w:ind w:left="0" w:right="0" w:firstLine="540"/>
        <w:jc w:val="both"/>
        <w:rPr/>
      </w:pPr>
      <w:r>
        <w:rPr/>
        <w:t xml:space="preserve">В соответствии с </w:t>
      </w:r>
      <w:hyperlink r:id="rId3">
        <w:r>
          <w:rPr>
            <w:color w:val="0000FF"/>
          </w:rPr>
          <w:t>частью 1 статьи 84</w:t>
        </w:r>
      </w:hyperlink>
      <w:r>
        <w:rPr/>
        <w:t xml:space="preserve"> Федерального закона от 21 ноября 2011 г. N 323-ФЗ "Об основах охраны здоровья граждан в Российской Федерации"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При этом платные медицинские услуги могут оказываться в полном объеме медицинской помощи либо по Вашей просьбе в виде осуществления отдельных консультаций или медицинских вмешательств.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Медицинские организации, участвующие в реализации Программы и территориальных программ, имеют право оказывать Вам платные медицинские услуги: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на иных условиях, чем предусмотрено Программой, территориальными программами и (или) целевыми программами. Вам следует ознакомиться с важным для гражданина разделом Программы и территориальной программы - "Порядок и условия бесплатного оказания гражданам медицинской помощи".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при оказании медицинских услуг анонимно, за исключением случаев, предусмотренных законодательством Российской Федерации;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при самостоятельном обращении за получением медицинских услуг, за исключением: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а) 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б) оказания медицинской помощи в экстренной и неотложной форме при самостоятельном обращении гражданина в медицинскую организацию;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в) направления на предоставление медицинских услуг врачом-терапевтом участковым, врачом-педиатром участковым, врачом общей практики (семейным врачом), врачом-специалистом, фельдшером, а также оказания первичной специализированной медико-санитарной помощи, специализированной медицинской помощи по направлению лечащего врача;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г) иных случаев, предусмотренных законодательством в сфере охраны здоровья.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и территориальных программ.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left="0" w:right="0" w:firstLine="540"/>
        <w:jc w:val="both"/>
        <w:outlineLvl w:val="0"/>
        <w:rPr/>
      </w:pPr>
      <w:r>
        <w:rPr/>
        <w:t>5. Куда обращаться по возникающим вопросам и при нарушении Ваших прав на бесплатную медицинскую помощь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Normal"/>
        <w:bidi w:val="0"/>
        <w:ind w:left="0" w:right="0" w:firstLine="540"/>
        <w:jc w:val="both"/>
        <w:rPr/>
      </w:pPr>
      <w:r>
        <w:rPr/>
        <w:t>По вопросам бесплатного оказания медицинской помощи и в случае нарушения прав граждан на ее предоставление, разрешения конфликтных ситуаций, в том числе при отказах в предоставлении медицинской помощи, взимания денежных средств за ее оказание следует обращаться в: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администрацию медицинской организации - к заведующему отделением, руководителю медицинской организации;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в офис страховой медицинской организации, включая страхового представителя, - очно или по телефону, номер которого указан на сайте страховой компании;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территориальный орган управления здравоохранения и территориальный орган Росздравнадзора, территориальный фонд обязательного медицинского страхования;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общественные советы (организации) по защите прав пациентов при органе государственной власти субъекта Российской Федерации в сфере охраны здоровья и при территориальном органе Росздравнадзора;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профессиональные некоммерческие медицинские и пациентские организации;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Росздравнадзор и др.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bidi w:val="0"/>
        <w:ind w:left="0" w:right="0" w:firstLine="540"/>
        <w:jc w:val="both"/>
        <w:outlineLvl w:val="0"/>
        <w:rPr/>
      </w:pPr>
      <w:r>
        <w:rPr/>
        <w:t>6. Что Вам следует знать о страховых представителях страховых медицинских организаций</w:t>
      </w:r>
    </w:p>
    <w:p>
      <w:pPr>
        <w:pStyle w:val="ConsPlusNormal"/>
        <w:bidi w:val="0"/>
        <w:ind w:left="0" w:right="0" w:hanging="0"/>
        <w:jc w:val="both"/>
        <w:rPr/>
      </w:pPr>
      <w:r>
        <w:rPr/>
      </w:r>
    </w:p>
    <w:p>
      <w:pPr>
        <w:pStyle w:val="ConsPlusNormal"/>
        <w:bidi w:val="0"/>
        <w:ind w:left="0" w:right="0" w:firstLine="540"/>
        <w:jc w:val="both"/>
        <w:rPr/>
      </w:pPr>
      <w:r>
        <w:rPr/>
        <w:t>Страховой представитель - это сотрудник страховой медицинской организации, прошедший специальное обучение, представляющий Ваши интересы и обеспечивающий Ваше индивидуальное сопровождение при оказании медицинской помощи, предусмотренной законодательством.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Страховой представитель: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предоставляет Вам справочно-консультативную информацию, в том числе о праве выбора (замены) и порядке выбора (замены) страховой медицинской организации, медицинской организации и врача, а также о порядке получения полиса обязательного медицинского страхования;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информирует Вас о необходимости прохождения диспансеризации и опрашивает по результатам ее прохождения;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консультирует Вас по вопросам оказания медицинской помощи;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сообщает об условиях оказания медицинской помощи и наличии свободных мест для госпитализации в плановом порядке;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помогает Вам подобрать медицинскую организацию, в том числе оказывающую специализированную медицинскую помощь;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контролирует прохождение Вами диспансеризации;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организует рассмотрение жалоб застрахованных граждан на качество и доступность оказания медицинской помощи.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Кроме того, Вы можете обращаться в офис страховой медицинской организации к страховому представителю при: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отказе в записи на прием к врачу-специалисту при наличии направления лечащего врача;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нарушении предельных сроков ожидания медицинской помощи в плановой, неотложной и экстренной формах;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отказе в бесплатном предоставлении лекарственных препаратов, медицинских изделий, лечебного питания - всего того, что предусмотрено Программой;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ситуации, когда Вам предложено оплатить те медицинские услуги, которые по медицинским показаниям назначил Ваш лечащий врач. Если Вы уже заплатили за медицинские услуги, обязательно сохраните кассовый чек, товарные чеки и обратитесь в страховую медицинскую организацию, где вам помогут установить правомерность взимания денежных средств, а при неправомерности - организовать их возмещение;</w:t>
      </w:r>
    </w:p>
    <w:p>
      <w:pPr>
        <w:pStyle w:val="ConsPlusNormal"/>
        <w:bidi w:val="0"/>
        <w:spacing w:before="200" w:after="160"/>
        <w:ind w:left="0" w:right="0" w:firstLine="540"/>
        <w:jc w:val="both"/>
        <w:rPr/>
      </w:pPr>
      <w:r>
        <w:rPr/>
        <w:t>- иных случаях, когда Вы считаете, что Ваши права нарушаются.</w:t>
      </w:r>
    </w:p>
    <w:p>
      <w:pPr>
        <w:pStyle w:val="ConsPlusNormal"/>
        <w:bidi w:val="0"/>
        <w:ind w:left="0" w:right="0" w:hanging="0"/>
        <w:rPr/>
      </w:pPr>
      <w:hyperlink r:id="rId4">
        <w:r>
          <w:rPr>
            <w:i/>
            <w:iCs/>
            <w:color w:val="0000FF"/>
          </w:rPr>
          <w:br/>
          <w:t>&lt;Письмо&gt; Минздрава России от 22.12.2023 N 31-2/И/2-24207 &lt;О направлении ответов на обращения, поступающие в Минздрав России в связи со вступлением в силу постановления Правительства РФ от 11.05.2023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1006"&gt; (вместе с "Ответами на поступившие обращения по реализации отдельных положений Правил предоставления медицинскими организациями платных медицинских услуг, утвержденных постановлением Правительства Российской Федерации от 11.05.2023 N 736") {КонсультантПлюс}</w:t>
        </w:r>
      </w:hyperlink>
      <w:r>
        <w:rPr/>
        <w:br/>
      </w:r>
    </w:p>
    <w:sectPr>
      <w:footerReference w:type="default" r:id="rId5"/>
      <w:type w:val="nextPage"/>
      <w:pgSz w:w="11906" w:h="16838"/>
      <w:pgMar w:left="1133" w:right="566" w:gutter="0" w:header="0" w:top="568" w:footer="0" w:bottom="9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lineRule="auto" w:line="256"/>
      <w:ind w:left="0" w:right="0" w:hanging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Footer"/>
      <w:bidi w:val="0"/>
      <w:spacing w:lineRule="auto" w:line="256" w:before="0" w:after="160"/>
      <w:ind w:left="0" w:right="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Style15">
    <w:name w:val="Нижний колонтитул Знак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eastAsia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eastAsia="DejaVu Sans"/>
    </w:rPr>
  </w:style>
  <w:style w:type="paragraph" w:styleId="NormalTable">
    <w:name w:val="Normal Table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ru-RU" w:bidi="ar-SA"/>
    </w:rPr>
  </w:style>
  <w:style w:type="paragraph" w:styleId="ConsPlusNormal">
    <w:name w:val="ConsPlusNormal"/>
    <w:qFormat/>
    <w:pPr>
      <w:widowControl w:val="false"/>
      <w:bidi w:val="0"/>
      <w:jc w:val="left"/>
      <w:textAlignment w:val="auto"/>
    </w:pPr>
    <w:rPr>
      <w:rFonts w:ascii="Arial" w:hAnsi="Arial" w:eastAsia="Times New Roman" w:cs="Arial"/>
      <w:color w:val="auto"/>
      <w:kern w:val="2"/>
      <w:sz w:val="20"/>
      <w:szCs w:val="20"/>
      <w:lang w:val="ru-RU" w:eastAsia="ru-RU" w:bidi="ar-SA"/>
    </w:rPr>
  </w:style>
  <w:style w:type="paragraph" w:styleId="ConsPlusNonformat">
    <w:name w:val="ConsPlusNonformat"/>
    <w:qFormat/>
    <w:pPr>
      <w:widowControl w:val="false"/>
      <w:bidi w:val="0"/>
      <w:jc w:val="left"/>
      <w:textAlignment w:val="auto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bidi w:val="0"/>
      <w:jc w:val="left"/>
      <w:textAlignment w:val="auto"/>
    </w:pPr>
    <w:rPr>
      <w:rFonts w:ascii="Arial" w:hAnsi="Arial" w:eastAsia="Times New Roman" w:cs="Arial"/>
      <w:b/>
      <w:bCs/>
      <w:color w:val="auto"/>
      <w:kern w:val="2"/>
      <w:sz w:val="20"/>
      <w:szCs w:val="20"/>
      <w:lang w:val="ru-RU" w:eastAsia="ru-RU" w:bidi="ar-SA"/>
    </w:rPr>
  </w:style>
  <w:style w:type="paragraph" w:styleId="ConsPlusCell">
    <w:name w:val="ConsPlusCell"/>
    <w:qFormat/>
    <w:pPr>
      <w:widowControl w:val="false"/>
      <w:bidi w:val="0"/>
      <w:jc w:val="left"/>
      <w:textAlignment w:val="auto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ru-RU" w:bidi="ar-SA"/>
    </w:rPr>
  </w:style>
  <w:style w:type="paragraph" w:styleId="ConsPlusDocList">
    <w:name w:val="ConsPlusDocList"/>
    <w:qFormat/>
    <w:pPr>
      <w:widowControl w:val="false"/>
      <w:bidi w:val="0"/>
      <w:jc w:val="left"/>
      <w:textAlignment w:val="auto"/>
    </w:pPr>
    <w:rPr>
      <w:rFonts w:ascii="Tahoma" w:hAnsi="Tahoma" w:eastAsia="Times New Roman" w:cs="Tahoma"/>
      <w:color w:val="auto"/>
      <w:kern w:val="2"/>
      <w:sz w:val="18"/>
      <w:szCs w:val="18"/>
      <w:lang w:val="ru-RU" w:eastAsia="ru-RU" w:bidi="ar-SA"/>
    </w:rPr>
  </w:style>
  <w:style w:type="paragraph" w:styleId="ConsPlusTitlePage">
    <w:name w:val="ConsPlusTitlePage"/>
    <w:qFormat/>
    <w:pPr>
      <w:widowControl w:val="false"/>
      <w:bidi w:val="0"/>
      <w:jc w:val="left"/>
      <w:textAlignment w:val="auto"/>
    </w:pPr>
    <w:rPr>
      <w:rFonts w:ascii="Tahoma" w:hAnsi="Tahoma" w:eastAsia="Times New Roman" w:cs="Tahoma"/>
      <w:color w:val="auto"/>
      <w:kern w:val="2"/>
      <w:sz w:val="20"/>
      <w:szCs w:val="20"/>
      <w:lang w:val="ru-RU" w:eastAsia="ru-RU" w:bidi="ar-SA"/>
    </w:rPr>
  </w:style>
  <w:style w:type="paragraph" w:styleId="ConsPlusJurTerm">
    <w:name w:val="ConsPlusJurTerm"/>
    <w:qFormat/>
    <w:pPr>
      <w:widowControl w:val="false"/>
      <w:bidi w:val="0"/>
      <w:jc w:val="left"/>
      <w:textAlignment w:val="auto"/>
    </w:pPr>
    <w:rPr>
      <w:rFonts w:ascii="Tahoma" w:hAnsi="Tahoma" w:eastAsia="Times New Roman" w:cs="Tahoma"/>
      <w:color w:val="auto"/>
      <w:kern w:val="2"/>
      <w:sz w:val="26"/>
      <w:szCs w:val="26"/>
      <w:lang w:val="ru-RU" w:eastAsia="ru-RU" w:bidi="ar-SA"/>
    </w:rPr>
  </w:style>
  <w:style w:type="paragraph" w:styleId="ConsPlusTextList">
    <w:name w:val="ConsPlusTextList"/>
    <w:qFormat/>
    <w:pPr>
      <w:widowControl w:val="false"/>
      <w:bidi w:val="0"/>
      <w:jc w:val="left"/>
      <w:textAlignment w:val="auto"/>
    </w:pPr>
    <w:rPr>
      <w:rFonts w:ascii="Arial" w:hAnsi="Arial" w:eastAsia="Times New Roman" w:cs="Arial"/>
      <w:color w:val="auto"/>
      <w:kern w:val="2"/>
      <w:sz w:val="20"/>
      <w:szCs w:val="20"/>
      <w:lang w:val="ru-RU" w:eastAsia="ru-RU" w:bidi="ar-SA"/>
    </w:rPr>
  </w:style>
  <w:style w:type="paragraph" w:styleId="ConsPlusTextList1">
    <w:name w:val="ConsPlusTextList1"/>
    <w:qFormat/>
    <w:pPr>
      <w:widowControl w:val="false"/>
      <w:bidi w:val="0"/>
      <w:jc w:val="left"/>
      <w:textAlignment w:val="auto"/>
    </w:pPr>
    <w:rPr>
      <w:rFonts w:ascii="Arial" w:hAnsi="Arial" w:eastAsia="Times New Roman" w:cs="Arial"/>
      <w:color w:val="auto"/>
      <w:kern w:val="2"/>
      <w:sz w:val="20"/>
      <w:szCs w:val="20"/>
      <w:lang w:val="ru-RU" w:eastAsia="ru-RU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844" w:leader="none"/>
        <w:tab w:val="right" w:pos="9689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2875&amp;date=05.02.2024&amp;dst=100160&amp;field=134" TargetMode="External"/><Relationship Id="rId3" Type="http://schemas.openxmlformats.org/officeDocument/2006/relationships/hyperlink" Target="https://login.consultant.ru/link/?req=doc&amp;base=LAW&amp;n=466112&amp;date=05.02.2024&amp;dst=100882&amp;field=134" TargetMode="External"/><Relationship Id="rId4" Type="http://schemas.openxmlformats.org/officeDocument/2006/relationships/hyperlink" Target="https://login.consultant.ru/link/?req=doc&amp;base=LAW&amp;n=467769&amp;date=05.02.2024&amp;dst=100062&amp;field=134" TargetMode="Externa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LibreOffice/7.4.6.2$Linux_X86_64 LibreOffice_project/40$Build-2</Application>
  <AppVersion>15.0000</AppVersion>
  <Pages>99</Pages>
  <Words>2750</Words>
  <Characters>18395</Characters>
  <CharactersWithSpaces>15681</CharactersWithSpaces>
  <Company>КонсультантПлюс Версия 4023.00.09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2024-02-05T15:00:00Z</dcterms:created>
  <dc:creator>Кузьмина Светлана</dc:creator>
  <dc:description/>
  <dc:language>en-US</dc:language>
  <cp:lastModifiedBy/>
  <dcterms:modified xsi:type="dcterms:W3CDTF">2024-02-07T10:51:00Z</dcterms:modified>
  <cp:revision>3</cp:revision>
  <dc:subject/>
  <dc:title>&lt;Письмо&gt; Минздрава России от 22.12.2023 N 31-2/И/2-24207&lt;О направлении ответов на обращения, поступающие в Минздрав России в связи со вступлением в силу постановления Правительства РФ от 11.05.2023 N 736 "Об утверждении Правил предоставления медицинскими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Кузьмина Светлана</vt:lpwstr>
  </property>
</Properties>
</file>